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321CC" w14:textId="7B1CE58F" w:rsidR="007A565B" w:rsidRDefault="000B4BC9">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 #11</w:t>
      </w:r>
      <w:r>
        <w:rPr>
          <w:rFonts w:cs="Arial" w:hint="eastAsia"/>
          <w:sz w:val="22"/>
        </w:rPr>
        <w:t>6</w:t>
      </w:r>
      <w:r>
        <w:rPr>
          <w:rFonts w:cs="Arial"/>
          <w:sz w:val="22"/>
        </w:rPr>
        <w:tab/>
        <w:t xml:space="preserve">                                               R1-2</w:t>
      </w:r>
      <w:r>
        <w:rPr>
          <w:rFonts w:cs="Arial" w:hint="eastAsia"/>
          <w:sz w:val="22"/>
        </w:rPr>
        <w:t>400356</w:t>
      </w:r>
    </w:p>
    <w:p w14:paraId="52444DE6" w14:textId="77777777" w:rsidR="007A565B" w:rsidRDefault="000B4BC9">
      <w:pPr>
        <w:rPr>
          <w:rFonts w:ascii="Arial" w:eastAsia="宋体" w:hAnsi="Arial" w:cs="Arial"/>
          <w:b/>
          <w:kern w:val="2"/>
        </w:rPr>
      </w:pPr>
      <w:r>
        <w:rPr>
          <w:rFonts w:ascii="Arial" w:eastAsia="宋体" w:hAnsi="Arial" w:cs="Arial" w:hint="eastAsia"/>
          <w:b/>
          <w:kern w:val="2"/>
        </w:rPr>
        <w:t>Athens</w:t>
      </w:r>
      <w:r>
        <w:rPr>
          <w:rFonts w:ascii="Arial" w:eastAsia="宋体" w:hAnsi="Arial" w:cs="Arial"/>
          <w:b/>
          <w:kern w:val="2"/>
        </w:rPr>
        <w:t xml:space="preserve">, </w:t>
      </w:r>
      <w:r>
        <w:rPr>
          <w:rFonts w:ascii="Arial" w:eastAsia="宋体" w:hAnsi="Arial" w:cs="Arial" w:hint="eastAsia"/>
          <w:b/>
          <w:kern w:val="2"/>
        </w:rPr>
        <w:t>Greece</w:t>
      </w:r>
      <w:r>
        <w:rPr>
          <w:rFonts w:ascii="Arial" w:eastAsia="宋体" w:hAnsi="Arial" w:cs="Arial"/>
          <w:b/>
          <w:kern w:val="2"/>
        </w:rPr>
        <w:t xml:space="preserve">, </w:t>
      </w:r>
      <w:r>
        <w:rPr>
          <w:rFonts w:ascii="Arial" w:eastAsia="宋体" w:hAnsi="Arial" w:cs="Arial" w:hint="eastAsia"/>
          <w:b/>
          <w:bCs/>
          <w:kern w:val="2"/>
        </w:rPr>
        <w:t>February 26</w:t>
      </w:r>
      <w:r>
        <w:rPr>
          <w:rFonts w:ascii="Arial" w:eastAsia="宋体" w:hAnsi="Arial" w:cs="Arial"/>
          <w:b/>
          <w:bCs/>
          <w:kern w:val="2"/>
          <w:vertAlign w:val="superscript"/>
        </w:rPr>
        <w:t>th</w:t>
      </w:r>
      <w:r>
        <w:rPr>
          <w:rFonts w:ascii="Arial" w:eastAsia="宋体" w:hAnsi="Arial" w:cs="Arial"/>
          <w:b/>
          <w:bCs/>
          <w:kern w:val="2"/>
        </w:rPr>
        <w:t xml:space="preserve"> – </w:t>
      </w:r>
      <w:r>
        <w:rPr>
          <w:rFonts w:ascii="Arial" w:eastAsia="宋体" w:hAnsi="Arial" w:cs="Arial" w:hint="eastAsia"/>
          <w:b/>
          <w:bCs/>
          <w:kern w:val="2"/>
        </w:rPr>
        <w:t>March 1</w:t>
      </w:r>
      <w:r>
        <w:rPr>
          <w:rFonts w:ascii="Arial" w:eastAsia="宋体" w:hAnsi="Arial" w:cs="Arial" w:hint="eastAsia"/>
          <w:b/>
          <w:bCs/>
          <w:kern w:val="2"/>
          <w:vertAlign w:val="superscript"/>
        </w:rPr>
        <w:t>st</w:t>
      </w:r>
      <w:r>
        <w:rPr>
          <w:rFonts w:ascii="Arial" w:eastAsia="宋体" w:hAnsi="Arial" w:cs="Arial"/>
          <w:b/>
          <w:kern w:val="2"/>
        </w:rPr>
        <w:t>, 202</w:t>
      </w:r>
      <w:r>
        <w:rPr>
          <w:rFonts w:ascii="Arial" w:eastAsia="宋体" w:hAnsi="Arial" w:cs="Arial" w:hint="eastAsia"/>
          <w:b/>
          <w:kern w:val="2"/>
        </w:rPr>
        <w:t>4</w:t>
      </w:r>
    </w:p>
    <w:p w14:paraId="216D52A3" w14:textId="77777777" w:rsidR="007A565B" w:rsidRDefault="000B4BC9">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7A080822" w14:textId="690BD68E" w:rsidR="007A565B" w:rsidRPr="00E23FEC" w:rsidRDefault="000B4BC9">
      <w:pPr>
        <w:pStyle w:val="3GPPHeader"/>
        <w:tabs>
          <w:tab w:val="clear" w:pos="1800"/>
          <w:tab w:val="clear" w:pos="9360"/>
          <w:tab w:val="left" w:pos="1580"/>
          <w:tab w:val="left" w:pos="2680"/>
        </w:tabs>
        <w:snapToGrid w:val="0"/>
        <w:rPr>
          <w:rFonts w:cs="Arial"/>
          <w:sz w:val="22"/>
        </w:rPr>
      </w:pPr>
      <w:r w:rsidRPr="00D439B6">
        <w:rPr>
          <w:rFonts w:cs="Arial"/>
          <w:sz w:val="22"/>
        </w:rPr>
        <w:t>Title:</w:t>
      </w:r>
      <w:r w:rsidRPr="00D439B6">
        <w:rPr>
          <w:rFonts w:cs="Arial"/>
          <w:sz w:val="22"/>
        </w:rPr>
        <w:tab/>
      </w:r>
      <w:r w:rsidR="00D439B6" w:rsidRPr="00F136DB">
        <w:rPr>
          <w:rFonts w:cs="Arial"/>
          <w:color w:val="000000"/>
          <w:sz w:val="22"/>
          <w:shd w:val="clear" w:color="auto" w:fill="FFFFFF"/>
        </w:rPr>
        <w:t>Discussion on support of RedCap/eRedCap UEs for NR NTN</w:t>
      </w:r>
    </w:p>
    <w:p w14:paraId="212D0726" w14:textId="77777777" w:rsidR="007A565B" w:rsidRDefault="000B4BC9">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14:paraId="57780DF3" w14:textId="77777777" w:rsidR="007A565B" w:rsidRDefault="000B4BC9">
      <w:pPr>
        <w:pBdr>
          <w:bottom w:val="single" w:sz="6" w:space="1" w:color="auto"/>
        </w:pBdr>
        <w:snapToGrid w:val="0"/>
        <w:jc w:val="both"/>
        <w:rPr>
          <w:rFonts w:ascii="Arial" w:hAnsi="Arial"/>
          <w:b/>
        </w:rPr>
      </w:pPr>
      <w:r>
        <w:rPr>
          <w:rFonts w:ascii="Arial" w:hAnsi="Arial"/>
          <w:b/>
        </w:rPr>
        <w:t>Document for: Discussion</w:t>
      </w:r>
      <w:bookmarkEnd w:id="0"/>
      <w:bookmarkEnd w:id="1"/>
    </w:p>
    <w:p w14:paraId="33BC189E" w14:textId="77777777" w:rsidR="007A565B" w:rsidRDefault="000B4BC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52092A1B" w14:textId="5F8F5773" w:rsidR="007A565B" w:rsidRDefault="000B4BC9">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lang w:val="en-GB"/>
        </w:rPr>
        <w:t>P</w:t>
      </w:r>
      <w:r>
        <w:rPr>
          <w:rFonts w:ascii="Times New Roman" w:eastAsia="宋体" w:hAnsi="Times New Roman" w:cs="Times New Roman" w:hint="eastAsia"/>
          <w:sz w:val="20"/>
          <w:szCs w:val="20"/>
        </w:rPr>
        <w:t>#1</w:t>
      </w:r>
      <w:r>
        <w:rPr>
          <w:rFonts w:ascii="Times New Roman" w:eastAsia="宋体" w:hAnsi="Times New Roman" w:cs="Times New Roman"/>
          <w:sz w:val="20"/>
          <w:szCs w:val="20"/>
        </w:rPr>
        <w:t xml:space="preserve">02, the WID of Rel-19 NR-NTN was agreed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_Ref157957694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sidR="00A40D44">
        <w:rPr>
          <w:rFonts w:ascii="Times New Roman" w:eastAsia="宋体" w:hAnsi="Times New Roman" w:cs="Times New Roman"/>
          <w:sz w:val="20"/>
          <w:szCs w:val="20"/>
        </w:rPr>
        <w:t xml:space="preserve"> </w:t>
      </w:r>
      <w:r w:rsidR="00A40D44">
        <w:rPr>
          <w:rFonts w:ascii="Times New Roman" w:eastAsia="宋体" w:hAnsi="Times New Roman" w:cs="Times New Roman" w:hint="eastAsia"/>
          <w:sz w:val="20"/>
          <w:szCs w:val="20"/>
        </w:rPr>
        <w:t>with</w:t>
      </w:r>
      <w:r w:rsidR="00A40D44">
        <w:rPr>
          <w:rFonts w:ascii="Times New Roman" w:eastAsia="宋体" w:hAnsi="Times New Roman" w:cs="Times New Roman"/>
          <w:sz w:val="20"/>
          <w:szCs w:val="20"/>
        </w:rPr>
        <w:t xml:space="preserve"> f</w:t>
      </w:r>
      <w:r>
        <w:rPr>
          <w:rFonts w:ascii="Times New Roman" w:eastAsia="宋体" w:hAnsi="Times New Roman" w:cs="Times New Roman"/>
          <w:sz w:val="20"/>
          <w:szCs w:val="20"/>
        </w:rPr>
        <w:t>ollowing</w:t>
      </w:r>
      <w:r w:rsidR="00A40D44">
        <w:rPr>
          <w:rFonts w:ascii="Times New Roman" w:eastAsia="宋体" w:hAnsi="Times New Roman" w:cs="Times New Roman"/>
          <w:sz w:val="20"/>
          <w:szCs w:val="20"/>
        </w:rPr>
        <w:t xml:space="preserve"> objective to check the </w:t>
      </w:r>
      <w:r w:rsidR="00A40D44">
        <w:rPr>
          <w:rFonts w:ascii="Times New Roman" w:eastAsia="宋体" w:hAnsi="Times New Roman" w:cs="Times New Roman" w:hint="eastAsia"/>
          <w:sz w:val="20"/>
          <w:szCs w:val="20"/>
        </w:rPr>
        <w:t>feasibility</w:t>
      </w:r>
      <w:r w:rsidR="00A40D44">
        <w:rPr>
          <w:rFonts w:ascii="Times New Roman" w:eastAsia="宋体" w:hAnsi="Times New Roman" w:cs="Times New Roman"/>
          <w:sz w:val="20"/>
          <w:szCs w:val="20"/>
        </w:rPr>
        <w:t xml:space="preserve"> of HD-FDD operation in NTN scenario for Redcap/eRedcap UEs</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7A565B" w14:paraId="2D7CCCCC" w14:textId="77777777">
        <w:tc>
          <w:tcPr>
            <w:tcW w:w="9350" w:type="dxa"/>
          </w:tcPr>
          <w:p w14:paraId="44A13D4D" w14:textId="77777777" w:rsidR="007A565B" w:rsidRDefault="000B4BC9">
            <w:pPr>
              <w:overflowPunct w:val="0"/>
              <w:autoSpaceDE w:val="0"/>
              <w:autoSpaceDN w:val="0"/>
              <w:adjustRightInd w:val="0"/>
              <w:spacing w:before="100" w:beforeAutospacing="1"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5. Support of Rel-17 RedCap and Rel-18 eRedCap UEs with NR NTN operating in FR1-NTN bands [RAN4, RAN1]</w:t>
            </w:r>
          </w:p>
          <w:p w14:paraId="78B99799" w14:textId="77777777" w:rsidR="007A565B" w:rsidRDefault="000B4BC9">
            <w:pPr>
              <w:widowControl w:val="0"/>
              <w:numPr>
                <w:ilvl w:val="0"/>
                <w:numId w:val="4"/>
              </w:numPr>
              <w:overflowPunct w:val="0"/>
              <w:autoSpaceDE w:val="0"/>
              <w:autoSpaceDN w:val="0"/>
              <w:adjustRightInd w:val="0"/>
              <w:spacing w:before="100" w:beforeAutospacing="1" w:after="0" w:line="276" w:lineRule="auto"/>
              <w:contextualSpacing/>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For full-duplex FDD RedCap and eRedCap UEs, define the RF and RRM requirements [RAN4]</w:t>
            </w:r>
          </w:p>
          <w:p w14:paraId="02F9C69E" w14:textId="77777777" w:rsidR="007A565B" w:rsidRDefault="000B4BC9">
            <w:pPr>
              <w:widowControl w:val="0"/>
              <w:numPr>
                <w:ilvl w:val="0"/>
                <w:numId w:val="4"/>
              </w:numPr>
              <w:overflowPunct w:val="0"/>
              <w:autoSpaceDE w:val="0"/>
              <w:autoSpaceDN w:val="0"/>
              <w:adjustRightInd w:val="0"/>
              <w:spacing w:before="100" w:beforeAutospacing="1" w:after="0" w:line="276" w:lineRule="auto"/>
              <w:contextualSpacing/>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 xml:space="preserve">For HD-FDD RedCap UEs and eRedCap UEs, </w:t>
            </w:r>
            <w:r w:rsidRPr="00F136DB">
              <w:rPr>
                <w:rFonts w:ascii="Times New Roman" w:eastAsia="Calibri" w:hAnsi="Times New Roman" w:cs="Times New Roman"/>
                <w:sz w:val="20"/>
                <w:szCs w:val="20"/>
                <w:highlight w:val="yellow"/>
              </w:rPr>
              <w:t>check whether any essential changes are needed for their support (i.e. focusing on HD collision rules) by end of Q2/2024 [RAN1]</w:t>
            </w:r>
          </w:p>
          <w:p w14:paraId="43453C98" w14:textId="77777777" w:rsidR="007A565B" w:rsidRDefault="000B4BC9">
            <w:pPr>
              <w:widowControl w:val="0"/>
              <w:numPr>
                <w:ilvl w:val="1"/>
                <w:numId w:val="4"/>
              </w:numPr>
              <w:overflowPunct w:val="0"/>
              <w:autoSpaceDE w:val="0"/>
              <w:autoSpaceDN w:val="0"/>
              <w:adjustRightInd w:val="0"/>
              <w:spacing w:before="100" w:beforeAutospacing="1" w:after="0" w:line="276" w:lineRule="auto"/>
              <w:contextualSpacing/>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Depending on feasibility assessment above, define the RF and RRM requirements [RAN4]</w:t>
            </w:r>
          </w:p>
          <w:p w14:paraId="5232589B" w14:textId="77777777" w:rsidR="007A565B" w:rsidRDefault="000B4BC9">
            <w:pPr>
              <w:widowControl w:val="0"/>
              <w:numPr>
                <w:ilvl w:val="0"/>
                <w:numId w:val="4"/>
              </w:numPr>
              <w:overflowPunct w:val="0"/>
              <w:autoSpaceDE w:val="0"/>
              <w:autoSpaceDN w:val="0"/>
              <w:adjustRightInd w:val="0"/>
              <w:spacing w:before="100" w:beforeAutospacing="1" w:after="0" w:line="276" w:lineRule="auto"/>
              <w:contextualSpacing/>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Notes for this objective:</w:t>
            </w:r>
          </w:p>
          <w:p w14:paraId="707E046D" w14:textId="77777777" w:rsidR="007A565B" w:rsidRDefault="000B4BC9">
            <w:pPr>
              <w:widowControl w:val="0"/>
              <w:numPr>
                <w:ilvl w:val="1"/>
                <w:numId w:val="4"/>
              </w:numPr>
              <w:overflowPunct w:val="0"/>
              <w:autoSpaceDE w:val="0"/>
              <w:autoSpaceDN w:val="0"/>
              <w:adjustRightInd w:val="0"/>
              <w:spacing w:before="100" w:beforeAutospacing="1" w:after="0" w:line="276" w:lineRule="auto"/>
              <w:contextualSpacing/>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GNSS (Global Navigation Satellite Systems) capabilities and simultaneous GNSS and NR-NTN operation is supported in RedCap/eRedCap UE.</w:t>
            </w:r>
          </w:p>
        </w:tc>
      </w:tr>
    </w:tbl>
    <w:p w14:paraId="27C98A0C" w14:textId="77777777" w:rsidR="007A565B" w:rsidRDefault="000B4BC9" w:rsidP="00F136DB">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the impact of HD-FDD in NR-NTN is analyzed.</w:t>
      </w:r>
      <w:r>
        <w:rPr>
          <w:rFonts w:ascii="Times New Roman" w:eastAsia="宋体" w:hAnsi="Times New Roman" w:cs="Times New Roman" w:hint="eastAsia"/>
          <w:sz w:val="20"/>
          <w:szCs w:val="20"/>
        </w:rPr>
        <w:t xml:space="preserve"> </w:t>
      </w:r>
    </w:p>
    <w:p w14:paraId="79C1C353" w14:textId="77777777" w:rsidR="007A565B" w:rsidRDefault="000B4BC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Impact of HD-FDD in NR-NTN</w:t>
      </w:r>
      <w:r>
        <w:rPr>
          <w:rFonts w:eastAsia="黑体" w:cs="Times New Roman" w:hint="eastAsia"/>
          <w:b/>
          <w:bCs/>
          <w:sz w:val="28"/>
          <w:szCs w:val="30"/>
          <w:lang w:val="en-US"/>
        </w:rPr>
        <w:t xml:space="preserve"> </w:t>
      </w:r>
    </w:p>
    <w:p w14:paraId="196F469C" w14:textId="332F69F4" w:rsidR="007A565B" w:rsidRDefault="000B4BC9">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 xml:space="preserve">Rel-17, the UL-DL collision issue has already been </w:t>
      </w:r>
      <w:r w:rsidR="008C0B7F">
        <w:rPr>
          <w:rFonts w:ascii="Times New Roman" w:hAnsi="Times New Roman" w:cs="Times New Roman"/>
          <w:sz w:val="20"/>
          <w:szCs w:val="20"/>
        </w:rPr>
        <w:t xml:space="preserve">discussed </w:t>
      </w:r>
      <w:r>
        <w:rPr>
          <w:rFonts w:ascii="Times New Roman" w:hAnsi="Times New Roman" w:cs="Times New Roman"/>
          <w:sz w:val="20"/>
          <w:szCs w:val="20"/>
        </w:rPr>
        <w:t>in IoT-NTN</w:t>
      </w:r>
      <w:r w:rsidR="00122DA9">
        <w:rPr>
          <w:rFonts w:ascii="Times New Roman" w:hAnsi="Times New Roman" w:cs="Times New Roman"/>
          <w:sz w:val="20"/>
          <w:szCs w:val="20"/>
        </w:rPr>
        <w:t xml:space="preserve"> with the conclusion </w:t>
      </w:r>
      <w:r w:rsidR="00122DA9">
        <w:rPr>
          <w:rFonts w:ascii="Times New Roman" w:hAnsi="Times New Roman" w:cs="Times New Roman" w:hint="eastAsia"/>
          <w:sz w:val="20"/>
          <w:szCs w:val="20"/>
        </w:rPr>
        <w:t>t</w:t>
      </w:r>
      <w:r w:rsidR="00122DA9">
        <w:rPr>
          <w:rFonts w:ascii="Times New Roman" w:hAnsi="Times New Roman" w:cs="Times New Roman"/>
          <w:sz w:val="20"/>
          <w:szCs w:val="20"/>
        </w:rPr>
        <w:t>h</w:t>
      </w:r>
      <w:r w:rsidR="00122DA9">
        <w:rPr>
          <w:rFonts w:ascii="Times New Roman" w:hAnsi="Times New Roman" w:cs="Times New Roman" w:hint="eastAsia"/>
          <w:sz w:val="20"/>
          <w:szCs w:val="20"/>
        </w:rPr>
        <w:t>at</w:t>
      </w:r>
      <w:r>
        <w:rPr>
          <w:rFonts w:ascii="Times New Roman" w:hAnsi="Times New Roman" w:cs="Times New Roman"/>
          <w:sz w:val="20"/>
          <w:szCs w:val="20"/>
        </w:rPr>
        <w:t xml:space="preserve"> the UE-specific TA and/or Koffset can be used by the eNB in its scheduling to avoid UL-DL collisions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_Ref158015692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For HD-FDD Redcap, similar conclusion can be made </w:t>
      </w:r>
      <w:r>
        <w:rPr>
          <w:rFonts w:ascii="Times New Roman" w:hAnsi="Times New Roman" w:cs="Times New Roman" w:hint="eastAsia"/>
          <w:sz w:val="20"/>
          <w:szCs w:val="20"/>
        </w:rPr>
        <w:t>base</w:t>
      </w:r>
      <w:r>
        <w:rPr>
          <w:rFonts w:ascii="Times New Roman" w:hAnsi="Times New Roman" w:cs="Times New Roman"/>
          <w:sz w:val="20"/>
          <w:szCs w:val="20"/>
        </w:rPr>
        <w:t>d on following analysis.</w:t>
      </w:r>
    </w:p>
    <w:p w14:paraId="5CF48119" w14:textId="77777777" w:rsidR="007A565B" w:rsidRDefault="000B4BC9">
      <w:pPr>
        <w:pStyle w:val="2"/>
        <w:spacing w:beforeLines="50" w:before="120" w:afterLines="50" w:after="120" w:line="0" w:lineRule="atLeast"/>
        <w:rPr>
          <w:sz w:val="22"/>
        </w:rPr>
      </w:pPr>
      <w:r>
        <w:rPr>
          <w:sz w:val="22"/>
        </w:rPr>
        <w:t>2.1 Avoid UL-DL collision based on UE-specific TA report</w:t>
      </w:r>
    </w:p>
    <w:p w14:paraId="2B097F4A" w14:textId="75481414" w:rsidR="007A565B" w:rsidRDefault="000B4BC9" w:rsidP="00F136DB">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NR-NTN, TA report has been supported with 1ms granularity. With the reported TA, gNB is able to </w:t>
      </w:r>
      <w:r w:rsidR="000F4635">
        <w:rPr>
          <w:rFonts w:ascii="Times New Roman" w:hAnsi="Times New Roman" w:cs="Times New Roman"/>
          <w:sz w:val="20"/>
          <w:szCs w:val="20"/>
        </w:rPr>
        <w:t xml:space="preserve">get the information of </w:t>
      </w:r>
      <w:r>
        <w:rPr>
          <w:rFonts w:ascii="Times New Roman" w:hAnsi="Times New Roman" w:cs="Times New Roman"/>
          <w:sz w:val="20"/>
          <w:szCs w:val="20"/>
        </w:rPr>
        <w:t xml:space="preserve">the </w:t>
      </w:r>
      <w:r w:rsidR="000F4635">
        <w:rPr>
          <w:rFonts w:ascii="Times New Roman" w:hAnsi="Times New Roman" w:cs="Times New Roman"/>
          <w:sz w:val="20"/>
          <w:szCs w:val="20"/>
        </w:rPr>
        <w:t xml:space="preserve">whole </w:t>
      </w:r>
      <w:r>
        <w:rPr>
          <w:rFonts w:ascii="Times New Roman" w:hAnsi="Times New Roman" w:cs="Times New Roman"/>
          <w:sz w:val="20"/>
          <w:szCs w:val="20"/>
        </w:rPr>
        <w:t>propagation delay</w:t>
      </w:r>
      <w:r w:rsidR="000F4635">
        <w:rPr>
          <w:rFonts w:ascii="Times New Roman" w:hAnsi="Times New Roman" w:cs="Times New Roman"/>
          <w:sz w:val="20"/>
          <w:szCs w:val="20"/>
        </w:rPr>
        <w:t xml:space="preserve"> according to the defined UTSRP (U</w:t>
      </w:r>
      <w:r w:rsidR="000F4635">
        <w:rPr>
          <w:rFonts w:ascii="Times New Roman" w:hAnsi="Times New Roman" w:cs="Times New Roman" w:hint="eastAsia"/>
          <w:sz w:val="20"/>
          <w:szCs w:val="20"/>
        </w:rPr>
        <w:t xml:space="preserve">plink </w:t>
      </w:r>
      <w:r w:rsidR="000F4635">
        <w:rPr>
          <w:rFonts w:ascii="Times New Roman" w:hAnsi="Times New Roman" w:cs="Times New Roman"/>
          <w:sz w:val="20"/>
          <w:szCs w:val="20"/>
        </w:rPr>
        <w:t>T</w:t>
      </w:r>
      <w:r w:rsidR="000F4635">
        <w:rPr>
          <w:rFonts w:ascii="Times New Roman" w:hAnsi="Times New Roman" w:cs="Times New Roman" w:hint="eastAsia"/>
          <w:sz w:val="20"/>
          <w:szCs w:val="20"/>
        </w:rPr>
        <w:t xml:space="preserve">ime </w:t>
      </w:r>
      <w:r w:rsidR="000F4635">
        <w:rPr>
          <w:rFonts w:ascii="Times New Roman" w:hAnsi="Times New Roman" w:cs="Times New Roman"/>
          <w:sz w:val="20"/>
          <w:szCs w:val="20"/>
        </w:rPr>
        <w:t>S</w:t>
      </w:r>
      <w:r w:rsidR="000F4635">
        <w:rPr>
          <w:rFonts w:ascii="Times New Roman" w:hAnsi="Times New Roman" w:cs="Times New Roman" w:hint="eastAsia"/>
          <w:sz w:val="20"/>
          <w:szCs w:val="20"/>
        </w:rPr>
        <w:t xml:space="preserve">ynchronization </w:t>
      </w:r>
      <w:r w:rsidR="000F4635">
        <w:rPr>
          <w:rFonts w:ascii="Times New Roman" w:hAnsi="Times New Roman" w:cs="Times New Roman"/>
          <w:sz w:val="20"/>
          <w:szCs w:val="20"/>
        </w:rPr>
        <w:t>R</w:t>
      </w:r>
      <w:r w:rsidR="000F4635">
        <w:rPr>
          <w:rFonts w:ascii="Times New Roman" w:hAnsi="Times New Roman" w:cs="Times New Roman" w:hint="eastAsia"/>
          <w:sz w:val="20"/>
          <w:szCs w:val="20"/>
        </w:rPr>
        <w:t xml:space="preserve">eference </w:t>
      </w:r>
      <w:r w:rsidR="000F4635">
        <w:rPr>
          <w:rFonts w:ascii="Times New Roman" w:hAnsi="Times New Roman" w:cs="Times New Roman"/>
          <w:sz w:val="20"/>
          <w:szCs w:val="20"/>
        </w:rPr>
        <w:t>P</w:t>
      </w:r>
      <w:r w:rsidR="000F4635">
        <w:rPr>
          <w:rFonts w:ascii="Times New Roman" w:hAnsi="Times New Roman" w:cs="Times New Roman" w:hint="eastAsia"/>
          <w:sz w:val="20"/>
          <w:szCs w:val="20"/>
        </w:rPr>
        <w:t>oint</w:t>
      </w:r>
      <w:r w:rsidR="000F4635">
        <w:rPr>
          <w:rFonts w:ascii="Times New Roman" w:hAnsi="Times New Roman" w:cs="Times New Roman"/>
          <w:sz w:val="20"/>
          <w:szCs w:val="20"/>
        </w:rPr>
        <w:t>)</w:t>
      </w:r>
      <w:r>
        <w:rPr>
          <w:rFonts w:ascii="Times New Roman" w:hAnsi="Times New Roman" w:cs="Times New Roman"/>
          <w:sz w:val="20"/>
          <w:szCs w:val="20"/>
        </w:rPr>
        <w:t xml:space="preserve">. That is, gNB is able to identify when UE will receive a DL transmission and when UE will perform the UL transmission. Therefore, the UL-DL collision </w:t>
      </w:r>
      <w:r>
        <w:rPr>
          <w:rFonts w:ascii="Times New Roman" w:hAnsi="Times New Roman" w:cs="Times New Roman" w:hint="eastAsia"/>
          <w:sz w:val="20"/>
          <w:szCs w:val="20"/>
        </w:rPr>
        <w:t xml:space="preserve">can be </w:t>
      </w:r>
      <w:r>
        <w:rPr>
          <w:rFonts w:ascii="Times New Roman" w:hAnsi="Times New Roman" w:cs="Times New Roman"/>
          <w:sz w:val="20"/>
          <w:szCs w:val="20"/>
        </w:rPr>
        <w:t xml:space="preserve">avoided by proper scheduling at gNB, e.g., avoiding DL scheduling at DL resources that may overlap with UL transmission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14:paraId="2665003E" w14:textId="77777777" w:rsidR="007A565B" w:rsidRDefault="000B4BC9">
      <w:pPr>
        <w:jc w:val="center"/>
      </w:pPr>
      <w:r>
        <w:rPr>
          <w:noProof/>
        </w:rPr>
        <w:drawing>
          <wp:inline distT="0" distB="0" distL="0" distR="0" wp14:anchorId="20A39A57" wp14:editId="3F64C4BC">
            <wp:extent cx="5521325" cy="241808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29399" cy="2422066"/>
                    </a:xfrm>
                    <a:prstGeom prst="rect">
                      <a:avLst/>
                    </a:prstGeom>
                  </pic:spPr>
                </pic:pic>
              </a:graphicData>
            </a:graphic>
          </wp:inline>
        </w:drawing>
      </w:r>
      <w:bookmarkStart w:id="3" w:name="_GoBack"/>
      <w:bookmarkEnd w:id="3"/>
    </w:p>
    <w:p w14:paraId="2188B17F" w14:textId="77777777" w:rsidR="007A565B" w:rsidRPr="00F136DB" w:rsidRDefault="000B4BC9">
      <w:pPr>
        <w:pStyle w:val="a3"/>
        <w:rPr>
          <w:b w:val="0"/>
        </w:rPr>
      </w:pPr>
      <w:bookmarkStart w:id="4" w:name="_Ref158021703"/>
      <w:r w:rsidRPr="00F136DB">
        <w:rPr>
          <w:b w:val="0"/>
        </w:rPr>
        <w:lastRenderedPageBreak/>
        <w:t xml:space="preserve">Figure </w:t>
      </w:r>
      <w:r w:rsidRPr="00F136DB">
        <w:rPr>
          <w:b w:val="0"/>
        </w:rPr>
        <w:fldChar w:fldCharType="begin"/>
      </w:r>
      <w:r w:rsidRPr="00F136DB">
        <w:rPr>
          <w:b w:val="0"/>
        </w:rPr>
        <w:instrText xml:space="preserve"> SEQ Figure \* ARABIC </w:instrText>
      </w:r>
      <w:r w:rsidRPr="00F136DB">
        <w:rPr>
          <w:b w:val="0"/>
        </w:rPr>
        <w:fldChar w:fldCharType="separate"/>
      </w:r>
      <w:r w:rsidRPr="00F136DB">
        <w:rPr>
          <w:b w:val="0"/>
        </w:rPr>
        <w:t>1</w:t>
      </w:r>
      <w:r w:rsidRPr="00F136DB">
        <w:rPr>
          <w:b w:val="0"/>
        </w:rPr>
        <w:fldChar w:fldCharType="end"/>
      </w:r>
      <w:bookmarkEnd w:id="4"/>
      <w:r w:rsidRPr="00F136DB">
        <w:rPr>
          <w:b w:val="0"/>
        </w:rPr>
        <w:t xml:space="preserve"> Avoid UL-DL collision based on TA</w:t>
      </w:r>
    </w:p>
    <w:p w14:paraId="140E1BCC" w14:textId="77777777" w:rsidR="007A565B" w:rsidRDefault="000B4BC9" w:rsidP="00F136DB">
      <w:pPr>
        <w:jc w:val="both"/>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owever, since the granularity of TA report is 1ms, the UE-specific TA known by gNB has an uncertainty of at least 1ms. Therefore, if UL-DL collision is expected to be completely avoided, any potential DL resources that may overlap with UL transmission should not be scheduled. For example,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the gNB can only know that the shadowed two DL slots may overlap with the UL transmission, but cannot accurately identify the fractional parts that will collide with UL due to limited TA report granularity. To ensure no collision, the gNB will not schedule DL transmission in any symbol of the two shadowed DL slots. And this may cause a waste of 1ms DL resource for each DL-UL-DL transition and leads to a bit loss of throughput.</w:t>
      </w:r>
    </w:p>
    <w:p w14:paraId="7C4D1F99" w14:textId="77777777" w:rsidR="007A565B" w:rsidRDefault="000B4BC9" w:rsidP="00F136DB">
      <w:pPr>
        <w:jc w:val="both"/>
        <w:rPr>
          <w:rFonts w:ascii="Times New Roman" w:hAnsi="Times New Roman" w:cs="Times New Roman"/>
          <w:bCs/>
          <w:i/>
          <w:iCs/>
          <w:sz w:val="20"/>
          <w:szCs w:val="20"/>
        </w:rPr>
      </w:pPr>
      <w:r>
        <w:rPr>
          <w:rFonts w:ascii="Times New Roman" w:hAnsi="Times New Roman" w:cs="Times New Roman"/>
          <w:b/>
          <w:i/>
          <w:iCs/>
          <w:sz w:val="20"/>
          <w:szCs w:val="20"/>
        </w:rPr>
        <w:t>Observation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HD-FDD RedCap over NTN, UL-DL collision can be avoided by gNB scheduling based on TA report.</w:t>
      </w:r>
    </w:p>
    <w:p w14:paraId="35C21D27" w14:textId="77777777" w:rsidR="007A565B" w:rsidRDefault="000B4BC9" w:rsidP="00F136DB">
      <w:pPr>
        <w:jc w:val="both"/>
        <w:rPr>
          <w:rFonts w:ascii="Times New Roman" w:hAnsi="Times New Roman" w:cs="Times New Roman"/>
          <w:bCs/>
          <w:i/>
          <w:iCs/>
          <w:sz w:val="20"/>
          <w:szCs w:val="20"/>
        </w:rPr>
      </w:pPr>
      <w:r>
        <w:rPr>
          <w:rFonts w:ascii="Times New Roman" w:hAnsi="Times New Roman" w:cs="Times New Roman"/>
          <w:b/>
          <w:i/>
          <w:iCs/>
          <w:sz w:val="20"/>
          <w:szCs w:val="20"/>
        </w:rPr>
        <w:t>Observation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The coarse granularity of TA report may cause waste of 1ms DL resource for each DL-UL-DL transition.</w:t>
      </w:r>
    </w:p>
    <w:p w14:paraId="72E542A6" w14:textId="77777777" w:rsidR="007A565B" w:rsidRDefault="000B4BC9">
      <w:pPr>
        <w:pStyle w:val="2"/>
        <w:spacing w:beforeLines="50" w:before="120" w:afterLines="50" w:after="120" w:line="0" w:lineRule="atLeast"/>
        <w:rPr>
          <w:sz w:val="22"/>
        </w:rPr>
      </w:pPr>
      <w:r>
        <w:rPr>
          <w:sz w:val="22"/>
        </w:rPr>
        <w:t>2.2 Avoid UL-DL collision based on cell-specific Koffset</w:t>
      </w:r>
    </w:p>
    <w:p w14:paraId="603AC035" w14:textId="77777777" w:rsidR="007A565B" w:rsidRDefault="000B4BC9" w:rsidP="00F136DB">
      <w:pPr>
        <w:jc w:val="both"/>
        <w:rPr>
          <w:rFonts w:ascii="Times New Roman" w:hAnsi="Times New Roman" w:cs="Times New Roman"/>
          <w:sz w:val="20"/>
          <w:szCs w:val="20"/>
        </w:rPr>
      </w:pPr>
      <w:r>
        <w:rPr>
          <w:rFonts w:ascii="Times New Roman" w:hAnsi="Times New Roman" w:cs="Times New Roman"/>
          <w:sz w:val="20"/>
          <w:szCs w:val="20"/>
        </w:rPr>
        <w:t>In previous clause, how to avoid UL-DL collision based on UE specific TA report has been discussed. However, TA report is an optional feature, which is not supported by some NTN UEs. For UEs not supporting TA report, cell-specific Koffset can be considered to avoid UL-DL collision.</w:t>
      </w:r>
    </w:p>
    <w:p w14:paraId="48EC8C4B" w14:textId="77777777" w:rsidR="007A565B" w:rsidRDefault="000B4BC9" w:rsidP="00F136DB">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NR-NTN, the largest TA and smallest TA within a cell is able to be derived by gNB based on satellite ephemeris, common TA, and cell coverage. In this case, even if gNB cannot know the exact UL transmission timing at UE, it is able to identify all the DL resources that may overlap with UL transmission based on the largest TA and smallest TA within the cell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_Ref158036797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2</w:t>
      </w:r>
      <w:r>
        <w:rPr>
          <w:rFonts w:ascii="Times New Roman" w:hAnsi="Times New Roman" w:cs="Times New Roman"/>
          <w:sz w:val="20"/>
          <w:szCs w:val="20"/>
        </w:rPr>
        <w:fldChar w:fldCharType="end"/>
      </w:r>
      <w:r>
        <w:rPr>
          <w:rFonts w:ascii="Times New Roman" w:hAnsi="Times New Roman" w:cs="Times New Roman"/>
          <w:sz w:val="20"/>
          <w:szCs w:val="20"/>
        </w:rPr>
        <w:t xml:space="preserve">. Generally, cell-specific Koffset is configured by gNB for use in UL scheduling, which should be larger than or equal to the largest potential TA. Therefore, cell-specific Koffset can be regarded as an estimate of largest TA. And the smallest TA can either be estimated by the distance between satellite and closest point in the cell, or by the orbit height, or even directly considered as zero. By not scheduling DL transmission in the shadowed DL resources, the UL-DL collision can be avoided. Of course, there may be a waste of </w:t>
      </w:r>
      <w:r>
        <w:rPr>
          <w:rFonts w:ascii="Times New Roman" w:hAnsi="Times New Roman" w:cs="Times New Roman" w:hint="eastAsia"/>
          <w:sz w:val="20"/>
          <w:szCs w:val="20"/>
        </w:rPr>
        <w:t>DL</w:t>
      </w:r>
      <w:r>
        <w:rPr>
          <w:rFonts w:ascii="Times New Roman" w:hAnsi="Times New Roman" w:cs="Times New Roman"/>
          <w:sz w:val="20"/>
          <w:szCs w:val="20"/>
        </w:rPr>
        <w:t xml:space="preserve"> resource with time duration of (TA</w:t>
      </w:r>
      <w:r>
        <w:rPr>
          <w:rFonts w:ascii="Times New Roman" w:hAnsi="Times New Roman" w:cs="Times New Roman"/>
          <w:sz w:val="20"/>
          <w:szCs w:val="20"/>
          <w:vertAlign w:val="subscript"/>
        </w:rPr>
        <w:t xml:space="preserve">max </w:t>
      </w:r>
      <w:r>
        <w:rPr>
          <w:rFonts w:ascii="Times New Roman" w:hAnsi="Times New Roman" w:cs="Times New Roman"/>
          <w:sz w:val="20"/>
          <w:szCs w:val="20"/>
        </w:rPr>
        <w:t>- TA</w:t>
      </w:r>
      <w:r>
        <w:rPr>
          <w:rFonts w:ascii="Times New Roman" w:hAnsi="Times New Roman" w:cs="Times New Roman"/>
          <w:sz w:val="20"/>
          <w:szCs w:val="20"/>
          <w:vertAlign w:val="subscript"/>
        </w:rPr>
        <w:t>min</w:t>
      </w:r>
      <w:r>
        <w:rPr>
          <w:rFonts w:ascii="Times New Roman" w:hAnsi="Times New Roman" w:cs="Times New Roman"/>
          <w:sz w:val="20"/>
          <w:szCs w:val="20"/>
        </w:rPr>
        <w:t>) for each DL-UL-DL transition, where TA</w:t>
      </w:r>
      <w:r>
        <w:rPr>
          <w:rFonts w:ascii="Times New Roman" w:hAnsi="Times New Roman" w:cs="Times New Roman"/>
          <w:sz w:val="20"/>
          <w:szCs w:val="20"/>
          <w:vertAlign w:val="subscript"/>
        </w:rPr>
        <w:t>max</w:t>
      </w:r>
      <w:r>
        <w:rPr>
          <w:rFonts w:ascii="Times New Roman" w:hAnsi="Times New Roman" w:cs="Times New Roman"/>
          <w:sz w:val="20"/>
          <w:szCs w:val="20"/>
        </w:rPr>
        <w:t xml:space="preserve"> is the estimated largest TA within a cell and TA</w:t>
      </w:r>
      <w:r>
        <w:rPr>
          <w:rFonts w:ascii="Times New Roman" w:hAnsi="Times New Roman" w:cs="Times New Roman"/>
          <w:sz w:val="20"/>
          <w:szCs w:val="20"/>
          <w:vertAlign w:val="subscript"/>
        </w:rPr>
        <w:t>min</w:t>
      </w:r>
      <w:r>
        <w:rPr>
          <w:rFonts w:ascii="Times New Roman" w:hAnsi="Times New Roman" w:cs="Times New Roman"/>
          <w:sz w:val="20"/>
          <w:szCs w:val="20"/>
        </w:rPr>
        <w:t xml:space="preserve"> is estimated smallest TA within a cell. By setting TA</w:t>
      </w:r>
      <w:r>
        <w:rPr>
          <w:rFonts w:ascii="Times New Roman" w:hAnsi="Times New Roman" w:cs="Times New Roman"/>
          <w:sz w:val="20"/>
          <w:szCs w:val="20"/>
          <w:vertAlign w:val="subscript"/>
        </w:rPr>
        <w:t>max</w:t>
      </w:r>
      <w:r>
        <w:rPr>
          <w:rFonts w:ascii="Times New Roman" w:hAnsi="Times New Roman" w:cs="Times New Roman"/>
          <w:sz w:val="20"/>
          <w:szCs w:val="20"/>
        </w:rPr>
        <w:t xml:space="preserve"> = </w:t>
      </w:r>
      <w:proofErr w:type="gramStart"/>
      <w:r>
        <w:rPr>
          <w:rFonts w:ascii="Times New Roman" w:hAnsi="Times New Roman" w:cs="Times New Roman"/>
          <w:sz w:val="20"/>
          <w:szCs w:val="20"/>
        </w:rPr>
        <w:t>K</w:t>
      </w:r>
      <w:r>
        <w:rPr>
          <w:rFonts w:ascii="Times New Roman" w:hAnsi="Times New Roman" w:cs="Times New Roman"/>
          <w:sz w:val="20"/>
          <w:szCs w:val="20"/>
          <w:vertAlign w:val="subscript"/>
        </w:rPr>
        <w:t>offset,cell</w:t>
      </w:r>
      <w:proofErr w:type="gramEnd"/>
      <w:r>
        <w:rPr>
          <w:rFonts w:ascii="Times New Roman" w:hAnsi="Times New Roman" w:cs="Times New Roman"/>
          <w:sz w:val="20"/>
          <w:szCs w:val="20"/>
          <w:vertAlign w:val="subscript"/>
        </w:rPr>
        <w:t xml:space="preserve"> </w:t>
      </w:r>
      <w:r>
        <w:rPr>
          <w:rFonts w:ascii="Times New Roman" w:hAnsi="Times New Roman" w:cs="Times New Roman"/>
          <w:sz w:val="20"/>
          <w:szCs w:val="20"/>
        </w:rPr>
        <w:t>and TA</w:t>
      </w:r>
      <w:r>
        <w:rPr>
          <w:rFonts w:ascii="Times New Roman" w:hAnsi="Times New Roman" w:cs="Times New Roman"/>
          <w:sz w:val="20"/>
          <w:szCs w:val="20"/>
          <w:vertAlign w:val="subscript"/>
        </w:rPr>
        <w:t>min</w:t>
      </w:r>
      <w:r>
        <w:rPr>
          <w:rFonts w:ascii="Times New Roman" w:hAnsi="Times New Roman" w:cs="Times New Roman"/>
          <w:sz w:val="20"/>
          <w:szCs w:val="20"/>
        </w:rPr>
        <w:t>=0, the waste of DL resource will be about K</w:t>
      </w:r>
      <w:r>
        <w:rPr>
          <w:rFonts w:ascii="Times New Roman" w:hAnsi="Times New Roman" w:cs="Times New Roman"/>
          <w:sz w:val="20"/>
          <w:szCs w:val="20"/>
          <w:vertAlign w:val="subscript"/>
        </w:rPr>
        <w:t>offset,cell</w:t>
      </w:r>
      <w:r>
        <w:rPr>
          <w:rFonts w:ascii="Times New Roman" w:hAnsi="Times New Roman" w:cs="Times New Roman"/>
          <w:sz w:val="20"/>
          <w:szCs w:val="20"/>
        </w:rPr>
        <w:t>.</w:t>
      </w:r>
    </w:p>
    <w:p w14:paraId="35CEE753" w14:textId="77777777" w:rsidR="007A565B" w:rsidRDefault="000B4BC9">
      <w:pPr>
        <w:rPr>
          <w:lang w:val="en-GB"/>
        </w:rPr>
      </w:pPr>
      <w:r>
        <w:rPr>
          <w:noProof/>
        </w:rPr>
        <w:drawing>
          <wp:inline distT="0" distB="0" distL="0" distR="0" wp14:anchorId="17DC44EE" wp14:editId="784D0FC3">
            <wp:extent cx="5943600" cy="2078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943600" cy="2078355"/>
                    </a:xfrm>
                    <a:prstGeom prst="rect">
                      <a:avLst/>
                    </a:prstGeom>
                  </pic:spPr>
                </pic:pic>
              </a:graphicData>
            </a:graphic>
          </wp:inline>
        </w:drawing>
      </w:r>
    </w:p>
    <w:p w14:paraId="5D8D18F7" w14:textId="77777777" w:rsidR="007A565B" w:rsidRDefault="000B4BC9">
      <w:pPr>
        <w:pStyle w:val="a3"/>
      </w:pPr>
      <w:bookmarkStart w:id="5" w:name="_Ref158036797"/>
      <w:r>
        <w:t xml:space="preserve">Figure </w:t>
      </w:r>
      <w:r>
        <w:fldChar w:fldCharType="begin"/>
      </w:r>
      <w:r>
        <w:instrText xml:space="preserve"> SEQ Figure \* ARABIC </w:instrText>
      </w:r>
      <w:r>
        <w:fldChar w:fldCharType="separate"/>
      </w:r>
      <w:r>
        <w:t>2</w:t>
      </w:r>
      <w:r>
        <w:fldChar w:fldCharType="end"/>
      </w:r>
      <w:bookmarkEnd w:id="5"/>
      <w:r>
        <w:t xml:space="preserve"> Avoid UL-DL collision based on cell-specific Koffset</w:t>
      </w:r>
    </w:p>
    <w:p w14:paraId="0903B651" w14:textId="77777777" w:rsidR="007A565B" w:rsidRDefault="000B4BC9">
      <w:pPr>
        <w:rPr>
          <w:rFonts w:ascii="Times New Roman" w:hAnsi="Times New Roman" w:cs="Times New Roman"/>
          <w:bCs/>
          <w:i/>
          <w:iCs/>
          <w:sz w:val="20"/>
          <w:szCs w:val="20"/>
        </w:rPr>
      </w:pPr>
      <w:r>
        <w:rPr>
          <w:rFonts w:ascii="Times New Roman" w:hAnsi="Times New Roman" w:cs="Times New Roman"/>
          <w:b/>
          <w:i/>
          <w:iCs/>
          <w:sz w:val="20"/>
          <w:szCs w:val="20"/>
        </w:rPr>
        <w:t>Observation 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HD-FDD RedCap over NTN not supporting TA report, UL-DL collision can be avoided by gNB scheduling based on cell-specific Koffset.</w:t>
      </w:r>
    </w:p>
    <w:p w14:paraId="6E75FB31" w14:textId="77777777" w:rsidR="007A565B" w:rsidRDefault="000B4BC9">
      <w:pPr>
        <w:rPr>
          <w:rFonts w:ascii="Times New Roman" w:hAnsi="Times New Roman" w:cs="Times New Roman"/>
          <w:bCs/>
          <w:i/>
          <w:iCs/>
          <w:sz w:val="20"/>
          <w:szCs w:val="20"/>
        </w:rPr>
      </w:pPr>
      <w:r>
        <w:rPr>
          <w:rFonts w:ascii="Times New Roman" w:hAnsi="Times New Roman" w:cs="Times New Roman"/>
          <w:b/>
          <w:i/>
          <w:iCs/>
          <w:sz w:val="20"/>
          <w:szCs w:val="20"/>
        </w:rPr>
        <w:t>Observation 4</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The TA uncertainty (</w:t>
      </w:r>
      <w:r>
        <w:rPr>
          <w:rFonts w:ascii="Times New Roman" w:hAnsi="Times New Roman" w:cs="Times New Roman"/>
          <w:i/>
          <w:sz w:val="20"/>
          <w:szCs w:val="20"/>
        </w:rPr>
        <w:t>TA</w:t>
      </w:r>
      <w:r>
        <w:rPr>
          <w:rFonts w:ascii="Times New Roman" w:hAnsi="Times New Roman" w:cs="Times New Roman"/>
          <w:i/>
          <w:sz w:val="20"/>
          <w:szCs w:val="20"/>
          <w:vertAlign w:val="subscript"/>
        </w:rPr>
        <w:t xml:space="preserve">max </w:t>
      </w:r>
      <w:r>
        <w:rPr>
          <w:rFonts w:ascii="Times New Roman" w:hAnsi="Times New Roman" w:cs="Times New Roman"/>
          <w:i/>
          <w:sz w:val="20"/>
          <w:szCs w:val="20"/>
        </w:rPr>
        <w:t>- TA</w:t>
      </w:r>
      <w:r>
        <w:rPr>
          <w:rFonts w:ascii="Times New Roman" w:hAnsi="Times New Roman" w:cs="Times New Roman"/>
          <w:i/>
          <w:sz w:val="20"/>
          <w:szCs w:val="20"/>
          <w:vertAlign w:val="subscript"/>
        </w:rPr>
        <w:t>min</w:t>
      </w:r>
      <w:r>
        <w:rPr>
          <w:rFonts w:ascii="Times New Roman" w:hAnsi="Times New Roman" w:cs="Times New Roman"/>
          <w:bCs/>
          <w:i/>
          <w:iCs/>
          <w:sz w:val="20"/>
          <w:szCs w:val="20"/>
        </w:rPr>
        <w:t>) may cause waste of DL resource for each DL-UL-DL transition.</w:t>
      </w:r>
    </w:p>
    <w:p w14:paraId="3F3288BA" w14:textId="77777777" w:rsidR="007A565B" w:rsidRDefault="000B4BC9">
      <w:pPr>
        <w:rPr>
          <w:rFonts w:ascii="Times New Roman" w:hAnsi="Times New Roman" w:cs="Times New Roman"/>
          <w:sz w:val="20"/>
          <w:szCs w:val="20"/>
        </w:rPr>
      </w:pPr>
      <w:r>
        <w:rPr>
          <w:rFonts w:ascii="Times New Roman" w:hAnsi="Times New Roman" w:cs="Times New Roman"/>
          <w:sz w:val="20"/>
          <w:szCs w:val="20"/>
        </w:rPr>
        <w:lastRenderedPageBreak/>
        <w:t>Overall, the UE specific TA or cell-specific Koffset can be used by gNB in its scheduling to avoid UL-DL collisions in HD-FDD RedCap NTN. The only issue is a bit of DL resource waste during DL-UL-DL transition procedure due to TA uncertainty, which can be mitigated by supporting higher accuracy TA report.</w:t>
      </w:r>
    </w:p>
    <w:p w14:paraId="10B42037" w14:textId="77777777" w:rsidR="007A565B" w:rsidRDefault="000B4BC9">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Pr>
          <w:rFonts w:ascii="Times New Roman" w:hAnsi="Times New Roman" w:cs="Times New Roman"/>
          <w:b/>
          <w:i/>
          <w:iCs/>
          <w:sz w:val="20"/>
          <w:szCs w:val="20"/>
        </w:rPr>
        <w:t xml:space="preserve">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The UE specific TA or cell specific Koffset can be used by gNB in its scheduling to avoid UL-DL collisions in HD-FDD RedCap NTN.</w:t>
      </w:r>
    </w:p>
    <w:p w14:paraId="69448CE2" w14:textId="12CCA63E" w:rsidR="007A565B" w:rsidRDefault="000B4BC9">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Pr>
          <w:rFonts w:ascii="Times New Roman" w:hAnsi="Times New Roman" w:cs="Times New Roman"/>
          <w:b/>
          <w:i/>
          <w:iCs/>
          <w:sz w:val="20"/>
          <w:szCs w:val="20"/>
        </w:rPr>
        <w:t xml:space="preserve">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The resource waste caused by TA uncertainty at gNB can be mitigated by supporting </w:t>
      </w:r>
      <w:r w:rsidR="00AD4A03">
        <w:rPr>
          <w:rFonts w:ascii="Times New Roman" w:hAnsi="Times New Roman" w:cs="Times New Roman"/>
          <w:bCs/>
          <w:i/>
          <w:iCs/>
          <w:sz w:val="20"/>
          <w:szCs w:val="20"/>
        </w:rPr>
        <w:t xml:space="preserve">finer granularity </w:t>
      </w:r>
      <w:r>
        <w:rPr>
          <w:rFonts w:ascii="Times New Roman" w:hAnsi="Times New Roman" w:cs="Times New Roman" w:hint="eastAsia"/>
          <w:bCs/>
          <w:i/>
          <w:iCs/>
          <w:sz w:val="20"/>
          <w:szCs w:val="20"/>
        </w:rPr>
        <w:t xml:space="preserve">of </w:t>
      </w:r>
      <w:r>
        <w:rPr>
          <w:rFonts w:ascii="Times New Roman" w:hAnsi="Times New Roman" w:cs="Times New Roman"/>
          <w:bCs/>
          <w:i/>
          <w:iCs/>
          <w:sz w:val="20"/>
          <w:szCs w:val="20"/>
        </w:rPr>
        <w:t>TA report.</w:t>
      </w:r>
    </w:p>
    <w:p w14:paraId="05DDAF12" w14:textId="77777777" w:rsidR="007A565B" w:rsidRDefault="000B4BC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2491E769" w14:textId="77777777" w:rsidR="007A565B" w:rsidRDefault="000B4BC9">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0C675E85" w14:textId="77777777" w:rsidR="007A565B" w:rsidRDefault="000B4BC9" w:rsidP="00F136DB">
      <w:pPr>
        <w:jc w:val="both"/>
        <w:rPr>
          <w:rFonts w:ascii="Times New Roman" w:hAnsi="Times New Roman" w:cs="Times New Roman"/>
          <w:bCs/>
          <w:i/>
          <w:iCs/>
          <w:sz w:val="20"/>
          <w:szCs w:val="20"/>
        </w:rPr>
      </w:pPr>
      <w:r>
        <w:rPr>
          <w:rFonts w:ascii="Times New Roman" w:hAnsi="Times New Roman" w:cs="Times New Roman"/>
          <w:b/>
          <w:i/>
          <w:iCs/>
          <w:sz w:val="20"/>
          <w:szCs w:val="20"/>
        </w:rPr>
        <w:t>Observation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HD-FDD RedCap over NTN, UL-DL collision can be avoided by gNB scheduling based on TA report.</w:t>
      </w:r>
    </w:p>
    <w:p w14:paraId="74A1D0B5" w14:textId="77777777" w:rsidR="007A565B" w:rsidRDefault="000B4BC9" w:rsidP="00F136DB">
      <w:pPr>
        <w:jc w:val="both"/>
        <w:rPr>
          <w:rFonts w:ascii="Times New Roman" w:hAnsi="Times New Roman" w:cs="Times New Roman"/>
          <w:bCs/>
          <w:i/>
          <w:iCs/>
          <w:sz w:val="20"/>
          <w:szCs w:val="20"/>
        </w:rPr>
      </w:pPr>
      <w:r>
        <w:rPr>
          <w:rFonts w:ascii="Times New Roman" w:hAnsi="Times New Roman" w:cs="Times New Roman"/>
          <w:b/>
          <w:i/>
          <w:iCs/>
          <w:sz w:val="20"/>
          <w:szCs w:val="20"/>
        </w:rPr>
        <w:t>Observation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The coarse granularity of TA report may cause waste of 1ms DL resource for each DL-UL-DL transition.</w:t>
      </w:r>
    </w:p>
    <w:p w14:paraId="7ED09906" w14:textId="77777777" w:rsidR="007A565B" w:rsidRDefault="000B4BC9" w:rsidP="00F136DB">
      <w:pPr>
        <w:jc w:val="both"/>
        <w:rPr>
          <w:rFonts w:ascii="Times New Roman" w:hAnsi="Times New Roman" w:cs="Times New Roman"/>
          <w:bCs/>
          <w:i/>
          <w:iCs/>
          <w:sz w:val="20"/>
          <w:szCs w:val="20"/>
        </w:rPr>
      </w:pPr>
      <w:r>
        <w:rPr>
          <w:rFonts w:ascii="Times New Roman" w:hAnsi="Times New Roman" w:cs="Times New Roman"/>
          <w:b/>
          <w:i/>
          <w:iCs/>
          <w:sz w:val="20"/>
          <w:szCs w:val="20"/>
        </w:rPr>
        <w:t>Observation 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HD-FDD RedCap over NTN not supporting TA report, UL-DL collision can be avoided by gNB scheduling based on cell-specific Koffset.</w:t>
      </w:r>
    </w:p>
    <w:p w14:paraId="238B8354" w14:textId="77777777" w:rsidR="007A565B" w:rsidRDefault="000B4BC9" w:rsidP="00F136DB">
      <w:pPr>
        <w:jc w:val="both"/>
        <w:rPr>
          <w:rFonts w:ascii="Times New Roman" w:hAnsi="Times New Roman" w:cs="Times New Roman"/>
          <w:bCs/>
          <w:i/>
          <w:iCs/>
          <w:sz w:val="20"/>
          <w:szCs w:val="20"/>
        </w:rPr>
      </w:pPr>
      <w:r>
        <w:rPr>
          <w:rFonts w:ascii="Times New Roman" w:hAnsi="Times New Roman" w:cs="Times New Roman"/>
          <w:b/>
          <w:i/>
          <w:iCs/>
          <w:sz w:val="20"/>
          <w:szCs w:val="20"/>
        </w:rPr>
        <w:t>Observation 4</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The TA uncertainty (</w:t>
      </w:r>
      <w:r>
        <w:rPr>
          <w:rFonts w:ascii="Times New Roman" w:hAnsi="Times New Roman" w:cs="Times New Roman"/>
          <w:i/>
          <w:sz w:val="20"/>
          <w:szCs w:val="20"/>
        </w:rPr>
        <w:t>TA</w:t>
      </w:r>
      <w:r>
        <w:rPr>
          <w:rFonts w:ascii="Times New Roman" w:hAnsi="Times New Roman" w:cs="Times New Roman"/>
          <w:i/>
          <w:sz w:val="20"/>
          <w:szCs w:val="20"/>
          <w:vertAlign w:val="subscript"/>
        </w:rPr>
        <w:t xml:space="preserve">max </w:t>
      </w:r>
      <w:r>
        <w:rPr>
          <w:rFonts w:ascii="Times New Roman" w:hAnsi="Times New Roman" w:cs="Times New Roman"/>
          <w:i/>
          <w:sz w:val="20"/>
          <w:szCs w:val="20"/>
        </w:rPr>
        <w:t>- TA</w:t>
      </w:r>
      <w:r>
        <w:rPr>
          <w:rFonts w:ascii="Times New Roman" w:hAnsi="Times New Roman" w:cs="Times New Roman"/>
          <w:i/>
          <w:sz w:val="20"/>
          <w:szCs w:val="20"/>
          <w:vertAlign w:val="subscript"/>
        </w:rPr>
        <w:t>min</w:t>
      </w:r>
      <w:r>
        <w:rPr>
          <w:rFonts w:ascii="Times New Roman" w:hAnsi="Times New Roman" w:cs="Times New Roman"/>
          <w:bCs/>
          <w:i/>
          <w:iCs/>
          <w:sz w:val="20"/>
          <w:szCs w:val="20"/>
        </w:rPr>
        <w:t>) may cause waste of DL resource for each DL-UL-DL transition.</w:t>
      </w:r>
    </w:p>
    <w:p w14:paraId="3A39E2A4" w14:textId="77777777" w:rsidR="007A565B" w:rsidRDefault="000B4BC9">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Pr>
          <w:rFonts w:ascii="Times New Roman" w:hAnsi="Times New Roman" w:cs="Times New Roman"/>
          <w:b/>
          <w:i/>
          <w:iCs/>
          <w:sz w:val="20"/>
          <w:szCs w:val="20"/>
        </w:rPr>
        <w:t xml:space="preserve">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The UE specific TA or cell specific Koffset can be used by gNB in its scheduling to avoid UL-DL collisions in HD-FDD RedCap NTN.</w:t>
      </w:r>
    </w:p>
    <w:p w14:paraId="2CFCA38E" w14:textId="77777777" w:rsidR="00AD4A03" w:rsidRDefault="00AD4A03" w:rsidP="00AD4A03">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Pr>
          <w:rFonts w:ascii="Times New Roman" w:hAnsi="Times New Roman" w:cs="Times New Roman"/>
          <w:b/>
          <w:i/>
          <w:iCs/>
          <w:sz w:val="20"/>
          <w:szCs w:val="20"/>
        </w:rPr>
        <w:t xml:space="preserve">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The resource waste caused by TA uncertainty at gNB can be mitigated by supporting finer granularity </w:t>
      </w:r>
      <w:r>
        <w:rPr>
          <w:rFonts w:ascii="Times New Roman" w:hAnsi="Times New Roman" w:cs="Times New Roman" w:hint="eastAsia"/>
          <w:bCs/>
          <w:i/>
          <w:iCs/>
          <w:sz w:val="20"/>
          <w:szCs w:val="20"/>
        </w:rPr>
        <w:t xml:space="preserve">of </w:t>
      </w:r>
      <w:r>
        <w:rPr>
          <w:rFonts w:ascii="Times New Roman" w:hAnsi="Times New Roman" w:cs="Times New Roman"/>
          <w:bCs/>
          <w:i/>
          <w:iCs/>
          <w:sz w:val="20"/>
          <w:szCs w:val="20"/>
        </w:rPr>
        <w:t>TA report.</w:t>
      </w:r>
    </w:p>
    <w:p w14:paraId="15F0D3E7" w14:textId="77777777" w:rsidR="007A565B" w:rsidRDefault="000B4BC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52FDF505" w14:textId="77777777" w:rsidR="007A565B" w:rsidRDefault="000B4BC9">
      <w:pPr>
        <w:pStyle w:val="ListParagraph1"/>
        <w:numPr>
          <w:ilvl w:val="0"/>
          <w:numId w:val="5"/>
        </w:numPr>
        <w:spacing w:after="0" w:line="240" w:lineRule="auto"/>
        <w:ind w:left="505" w:hanging="505"/>
        <w:rPr>
          <w:rFonts w:ascii="Times New Roman" w:hAnsi="Times New Roman" w:cs="Times New Roman"/>
          <w:sz w:val="20"/>
          <w:szCs w:val="20"/>
        </w:rPr>
      </w:pPr>
      <w:bookmarkStart w:id="6" w:name="_Ref157957694"/>
      <w:bookmarkStart w:id="7" w:name="_Ref2933"/>
      <w:bookmarkStart w:id="8" w:name="_Ref10563"/>
      <w:bookmarkStart w:id="9" w:name="_Ref32552"/>
      <w:r>
        <w:rPr>
          <w:rFonts w:ascii="Times New Roman" w:hAnsi="Times New Roman" w:cs="Times New Roman"/>
          <w:sz w:val="20"/>
          <w:szCs w:val="20"/>
        </w:rPr>
        <w:t>RP-234078</w:t>
      </w:r>
      <w:r>
        <w:rPr>
          <w:rFonts w:ascii="Times New Roman" w:hAnsi="Times New Roman" w:cs="Times New Roman" w:hint="eastAsia"/>
          <w:sz w:val="20"/>
          <w:szCs w:val="20"/>
        </w:rPr>
        <w:t>,</w:t>
      </w:r>
      <w:r>
        <w:rPr>
          <w:rFonts w:ascii="Times New Roman" w:hAnsi="Times New Roman" w:cs="Times New Roman"/>
          <w:sz w:val="20"/>
          <w:szCs w:val="20"/>
        </w:rPr>
        <w:t xml:space="preserve"> New WID: Non-Terrestrial Networks (NTN) for NR Phase 3, RANP#102.</w:t>
      </w:r>
      <w:bookmarkEnd w:id="6"/>
    </w:p>
    <w:p w14:paraId="73ADB22E" w14:textId="77777777" w:rsidR="007A565B" w:rsidRDefault="000B4BC9" w:rsidP="00F136DB">
      <w:pPr>
        <w:pStyle w:val="ListParagraph1"/>
        <w:numPr>
          <w:ilvl w:val="0"/>
          <w:numId w:val="5"/>
        </w:numPr>
        <w:spacing w:after="0" w:line="240" w:lineRule="auto"/>
        <w:ind w:left="505" w:hanging="505"/>
        <w:jc w:val="both"/>
        <w:rPr>
          <w:rFonts w:ascii="Times New Roman" w:hAnsi="Times New Roman" w:cs="Times New Roman"/>
          <w:sz w:val="20"/>
          <w:szCs w:val="20"/>
        </w:rPr>
      </w:pPr>
      <w:bookmarkStart w:id="10" w:name="_Ref158015692"/>
      <w:r>
        <w:rPr>
          <w:rFonts w:ascii="Times New Roman" w:hAnsi="Times New Roman" w:cs="Times New Roman" w:hint="eastAsia"/>
          <w:sz w:val="20"/>
          <w:szCs w:val="20"/>
        </w:rPr>
        <w:t>3</w:t>
      </w:r>
      <w:r>
        <w:rPr>
          <w:rFonts w:ascii="Times New Roman" w:hAnsi="Times New Roman" w:cs="Times New Roman"/>
          <w:sz w:val="20"/>
          <w:szCs w:val="20"/>
        </w:rPr>
        <w:t>GPP TR 36.763, Study on Narrow-Band Internet of Things (NB-IoT) / enhanced Machine Type Communication (eMTC) support for Non-Terrestrial Networks (NTN) (Release 17), V17.0.0</w:t>
      </w:r>
      <w:bookmarkEnd w:id="7"/>
      <w:bookmarkEnd w:id="8"/>
      <w:bookmarkEnd w:id="9"/>
      <w:bookmarkEnd w:id="10"/>
    </w:p>
    <w:p w14:paraId="69998818" w14:textId="77777777" w:rsidR="007A565B" w:rsidRDefault="007A565B">
      <w:pPr>
        <w:pStyle w:val="ListParagraph1"/>
        <w:numPr>
          <w:ilvl w:val="255"/>
          <w:numId w:val="0"/>
        </w:numPr>
        <w:spacing w:after="0" w:line="240" w:lineRule="auto"/>
        <w:ind w:left="720"/>
        <w:rPr>
          <w:rFonts w:ascii="Times New Roman" w:hAnsi="Times New Roman" w:cs="Times New Roman"/>
          <w:sz w:val="20"/>
          <w:szCs w:val="20"/>
        </w:rPr>
      </w:pPr>
    </w:p>
    <w:sectPr w:rsidR="007A56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AFA52" w14:textId="77777777" w:rsidR="008E731B" w:rsidRDefault="008E731B">
      <w:pPr>
        <w:spacing w:line="240" w:lineRule="auto"/>
      </w:pPr>
      <w:r>
        <w:separator/>
      </w:r>
    </w:p>
  </w:endnote>
  <w:endnote w:type="continuationSeparator" w:id="0">
    <w:p w14:paraId="318BA96C" w14:textId="77777777" w:rsidR="008E731B" w:rsidRDefault="008E73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EE81E" w14:textId="77777777" w:rsidR="008E731B" w:rsidRDefault="008E731B">
      <w:pPr>
        <w:spacing w:after="0"/>
      </w:pPr>
      <w:r>
        <w:separator/>
      </w:r>
    </w:p>
  </w:footnote>
  <w:footnote w:type="continuationSeparator" w:id="0">
    <w:p w14:paraId="754DF579" w14:textId="77777777" w:rsidR="008E731B" w:rsidRDefault="008E73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 w15:restartNumberingAfterBreak="0">
    <w:nsid w:val="2F8E0B88"/>
    <w:multiLevelType w:val="multilevel"/>
    <w:tmpl w:val="2F8E0B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07764"/>
    <w:rsid w:val="00010661"/>
    <w:rsid w:val="000139C8"/>
    <w:rsid w:val="00014FBE"/>
    <w:rsid w:val="00015922"/>
    <w:rsid w:val="000179D0"/>
    <w:rsid w:val="00020ACD"/>
    <w:rsid w:val="00020D74"/>
    <w:rsid w:val="00025C03"/>
    <w:rsid w:val="00026EB7"/>
    <w:rsid w:val="000357EB"/>
    <w:rsid w:val="0003653D"/>
    <w:rsid w:val="000429B5"/>
    <w:rsid w:val="0004527F"/>
    <w:rsid w:val="00054D2C"/>
    <w:rsid w:val="0005674D"/>
    <w:rsid w:val="0005721F"/>
    <w:rsid w:val="00057891"/>
    <w:rsid w:val="00057D1B"/>
    <w:rsid w:val="00061556"/>
    <w:rsid w:val="00063AA8"/>
    <w:rsid w:val="00066FBC"/>
    <w:rsid w:val="00073767"/>
    <w:rsid w:val="0007626B"/>
    <w:rsid w:val="0008090C"/>
    <w:rsid w:val="000833CE"/>
    <w:rsid w:val="00083791"/>
    <w:rsid w:val="0008667E"/>
    <w:rsid w:val="00095520"/>
    <w:rsid w:val="000A078D"/>
    <w:rsid w:val="000A0A27"/>
    <w:rsid w:val="000A1578"/>
    <w:rsid w:val="000A1777"/>
    <w:rsid w:val="000A237E"/>
    <w:rsid w:val="000A42A5"/>
    <w:rsid w:val="000A5EB8"/>
    <w:rsid w:val="000B2109"/>
    <w:rsid w:val="000B224E"/>
    <w:rsid w:val="000B37A3"/>
    <w:rsid w:val="000B4BC9"/>
    <w:rsid w:val="000B5CC3"/>
    <w:rsid w:val="000B6071"/>
    <w:rsid w:val="000B77A1"/>
    <w:rsid w:val="000C5155"/>
    <w:rsid w:val="000C6FDE"/>
    <w:rsid w:val="000D0482"/>
    <w:rsid w:val="000D4FBC"/>
    <w:rsid w:val="000E1CD6"/>
    <w:rsid w:val="000E428C"/>
    <w:rsid w:val="000E43EF"/>
    <w:rsid w:val="000E65DF"/>
    <w:rsid w:val="000F35A7"/>
    <w:rsid w:val="000F4635"/>
    <w:rsid w:val="001005DF"/>
    <w:rsid w:val="00101276"/>
    <w:rsid w:val="001074E3"/>
    <w:rsid w:val="0010757D"/>
    <w:rsid w:val="00116C64"/>
    <w:rsid w:val="00117793"/>
    <w:rsid w:val="00122DA9"/>
    <w:rsid w:val="00124527"/>
    <w:rsid w:val="00125D48"/>
    <w:rsid w:val="00126772"/>
    <w:rsid w:val="001328DC"/>
    <w:rsid w:val="00134A0D"/>
    <w:rsid w:val="00141D5E"/>
    <w:rsid w:val="0014473C"/>
    <w:rsid w:val="00144F89"/>
    <w:rsid w:val="00150434"/>
    <w:rsid w:val="00150CE7"/>
    <w:rsid w:val="00155D7D"/>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3B5B"/>
    <w:rsid w:val="001B410A"/>
    <w:rsid w:val="001B5A89"/>
    <w:rsid w:val="001B68F8"/>
    <w:rsid w:val="001C753E"/>
    <w:rsid w:val="001D0196"/>
    <w:rsid w:val="001D19C1"/>
    <w:rsid w:val="001D2050"/>
    <w:rsid w:val="001D21DF"/>
    <w:rsid w:val="001D6B75"/>
    <w:rsid w:val="001E07F6"/>
    <w:rsid w:val="001E129D"/>
    <w:rsid w:val="001E186A"/>
    <w:rsid w:val="001E4EF0"/>
    <w:rsid w:val="001E5689"/>
    <w:rsid w:val="001E6E26"/>
    <w:rsid w:val="001F05E4"/>
    <w:rsid w:val="001F27BA"/>
    <w:rsid w:val="001F3C01"/>
    <w:rsid w:val="001F4546"/>
    <w:rsid w:val="001F51CA"/>
    <w:rsid w:val="001F631C"/>
    <w:rsid w:val="002046B8"/>
    <w:rsid w:val="00204CAB"/>
    <w:rsid w:val="00205532"/>
    <w:rsid w:val="00207453"/>
    <w:rsid w:val="00214B75"/>
    <w:rsid w:val="0022021F"/>
    <w:rsid w:val="002207B4"/>
    <w:rsid w:val="00222A3E"/>
    <w:rsid w:val="00225F89"/>
    <w:rsid w:val="00237CB6"/>
    <w:rsid w:val="00245E67"/>
    <w:rsid w:val="002633E4"/>
    <w:rsid w:val="002633FA"/>
    <w:rsid w:val="00265AF7"/>
    <w:rsid w:val="00273E00"/>
    <w:rsid w:val="00286B13"/>
    <w:rsid w:val="00290DFD"/>
    <w:rsid w:val="0029101B"/>
    <w:rsid w:val="002968FF"/>
    <w:rsid w:val="00296AF4"/>
    <w:rsid w:val="002A5914"/>
    <w:rsid w:val="002A67BF"/>
    <w:rsid w:val="002A7480"/>
    <w:rsid w:val="002B4F46"/>
    <w:rsid w:val="002B71D6"/>
    <w:rsid w:val="002C46A7"/>
    <w:rsid w:val="002C6631"/>
    <w:rsid w:val="002C7039"/>
    <w:rsid w:val="002D3755"/>
    <w:rsid w:val="002D4344"/>
    <w:rsid w:val="002D519E"/>
    <w:rsid w:val="002D7396"/>
    <w:rsid w:val="002E4CF3"/>
    <w:rsid w:val="002F1F87"/>
    <w:rsid w:val="002F3B77"/>
    <w:rsid w:val="002F6513"/>
    <w:rsid w:val="00305397"/>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5635"/>
    <w:rsid w:val="00347D6F"/>
    <w:rsid w:val="00350DB8"/>
    <w:rsid w:val="00350EB0"/>
    <w:rsid w:val="00353F7D"/>
    <w:rsid w:val="00355FCF"/>
    <w:rsid w:val="00357889"/>
    <w:rsid w:val="003579C9"/>
    <w:rsid w:val="00364A8B"/>
    <w:rsid w:val="00365BDC"/>
    <w:rsid w:val="003755EC"/>
    <w:rsid w:val="003758AC"/>
    <w:rsid w:val="00380E55"/>
    <w:rsid w:val="003934F8"/>
    <w:rsid w:val="00396FDA"/>
    <w:rsid w:val="0039745B"/>
    <w:rsid w:val="00397AE7"/>
    <w:rsid w:val="00397BAA"/>
    <w:rsid w:val="00397BBC"/>
    <w:rsid w:val="003A0763"/>
    <w:rsid w:val="003A0BD6"/>
    <w:rsid w:val="003B23FE"/>
    <w:rsid w:val="003B26E4"/>
    <w:rsid w:val="003C2107"/>
    <w:rsid w:val="003C3C70"/>
    <w:rsid w:val="003D674C"/>
    <w:rsid w:val="003D6B19"/>
    <w:rsid w:val="003F0BAF"/>
    <w:rsid w:val="003F1C73"/>
    <w:rsid w:val="003F3770"/>
    <w:rsid w:val="003F79EF"/>
    <w:rsid w:val="00410235"/>
    <w:rsid w:val="004116B4"/>
    <w:rsid w:val="004135A0"/>
    <w:rsid w:val="00422100"/>
    <w:rsid w:val="00425415"/>
    <w:rsid w:val="00426A3D"/>
    <w:rsid w:val="00430CF9"/>
    <w:rsid w:val="00430E84"/>
    <w:rsid w:val="004319CA"/>
    <w:rsid w:val="00440760"/>
    <w:rsid w:val="0044101B"/>
    <w:rsid w:val="00441A19"/>
    <w:rsid w:val="00441E8A"/>
    <w:rsid w:val="00442E5E"/>
    <w:rsid w:val="00445CAB"/>
    <w:rsid w:val="004513E6"/>
    <w:rsid w:val="00451EF6"/>
    <w:rsid w:val="00462D69"/>
    <w:rsid w:val="004637DB"/>
    <w:rsid w:val="004648DB"/>
    <w:rsid w:val="00471A5A"/>
    <w:rsid w:val="00472246"/>
    <w:rsid w:val="00472D3D"/>
    <w:rsid w:val="00474B84"/>
    <w:rsid w:val="00475894"/>
    <w:rsid w:val="004770F4"/>
    <w:rsid w:val="00482F7E"/>
    <w:rsid w:val="0048318D"/>
    <w:rsid w:val="00485192"/>
    <w:rsid w:val="00491BF8"/>
    <w:rsid w:val="00495737"/>
    <w:rsid w:val="00497C9C"/>
    <w:rsid w:val="004A37B5"/>
    <w:rsid w:val="004A3905"/>
    <w:rsid w:val="004A6588"/>
    <w:rsid w:val="004A6640"/>
    <w:rsid w:val="004A6CD9"/>
    <w:rsid w:val="004B28E2"/>
    <w:rsid w:val="004B3513"/>
    <w:rsid w:val="004B36C7"/>
    <w:rsid w:val="004B5F6E"/>
    <w:rsid w:val="004B6063"/>
    <w:rsid w:val="004B78BA"/>
    <w:rsid w:val="004C4977"/>
    <w:rsid w:val="004D1104"/>
    <w:rsid w:val="004D3181"/>
    <w:rsid w:val="004D69F2"/>
    <w:rsid w:val="004D775D"/>
    <w:rsid w:val="004E05AF"/>
    <w:rsid w:val="004E3ACD"/>
    <w:rsid w:val="004E5AF0"/>
    <w:rsid w:val="004F03E6"/>
    <w:rsid w:val="004F49A0"/>
    <w:rsid w:val="004F528B"/>
    <w:rsid w:val="004F62EE"/>
    <w:rsid w:val="004F754D"/>
    <w:rsid w:val="004F75B9"/>
    <w:rsid w:val="004F776F"/>
    <w:rsid w:val="004F7853"/>
    <w:rsid w:val="004F7FE3"/>
    <w:rsid w:val="00500376"/>
    <w:rsid w:val="00505267"/>
    <w:rsid w:val="00510919"/>
    <w:rsid w:val="0051302E"/>
    <w:rsid w:val="00517B2E"/>
    <w:rsid w:val="00520395"/>
    <w:rsid w:val="00520E65"/>
    <w:rsid w:val="005332A0"/>
    <w:rsid w:val="00536BAA"/>
    <w:rsid w:val="00542CCB"/>
    <w:rsid w:val="005434FE"/>
    <w:rsid w:val="00543D3A"/>
    <w:rsid w:val="005453C8"/>
    <w:rsid w:val="00551616"/>
    <w:rsid w:val="00552969"/>
    <w:rsid w:val="00556B4D"/>
    <w:rsid w:val="005610CB"/>
    <w:rsid w:val="00563061"/>
    <w:rsid w:val="005647C8"/>
    <w:rsid w:val="005666B0"/>
    <w:rsid w:val="0058050C"/>
    <w:rsid w:val="005900DB"/>
    <w:rsid w:val="00590A36"/>
    <w:rsid w:val="00594AF1"/>
    <w:rsid w:val="00594D59"/>
    <w:rsid w:val="005963A2"/>
    <w:rsid w:val="005A04C6"/>
    <w:rsid w:val="005A6E7D"/>
    <w:rsid w:val="005B0735"/>
    <w:rsid w:val="005B13FE"/>
    <w:rsid w:val="005B560A"/>
    <w:rsid w:val="005B7DEF"/>
    <w:rsid w:val="005C0BFD"/>
    <w:rsid w:val="005C28E7"/>
    <w:rsid w:val="005C6294"/>
    <w:rsid w:val="005D1271"/>
    <w:rsid w:val="005D1EBB"/>
    <w:rsid w:val="005D6C77"/>
    <w:rsid w:val="005D7779"/>
    <w:rsid w:val="005E3EC1"/>
    <w:rsid w:val="005E722F"/>
    <w:rsid w:val="005F348F"/>
    <w:rsid w:val="005F401A"/>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55DB4"/>
    <w:rsid w:val="00661BBB"/>
    <w:rsid w:val="006621A5"/>
    <w:rsid w:val="00664E56"/>
    <w:rsid w:val="006708AC"/>
    <w:rsid w:val="00672FC7"/>
    <w:rsid w:val="00675722"/>
    <w:rsid w:val="006761DB"/>
    <w:rsid w:val="00677F24"/>
    <w:rsid w:val="00680A6C"/>
    <w:rsid w:val="00681C25"/>
    <w:rsid w:val="00685696"/>
    <w:rsid w:val="006903BA"/>
    <w:rsid w:val="00691417"/>
    <w:rsid w:val="006916B2"/>
    <w:rsid w:val="00693EE6"/>
    <w:rsid w:val="00695B9D"/>
    <w:rsid w:val="006A1E01"/>
    <w:rsid w:val="006A7310"/>
    <w:rsid w:val="006B133E"/>
    <w:rsid w:val="006B2B01"/>
    <w:rsid w:val="006B3493"/>
    <w:rsid w:val="006B481D"/>
    <w:rsid w:val="006B6268"/>
    <w:rsid w:val="006C752F"/>
    <w:rsid w:val="006D19C2"/>
    <w:rsid w:val="006D3FCB"/>
    <w:rsid w:val="006E0927"/>
    <w:rsid w:val="006E2227"/>
    <w:rsid w:val="006E4FFC"/>
    <w:rsid w:val="006E5859"/>
    <w:rsid w:val="006F30C8"/>
    <w:rsid w:val="006F670C"/>
    <w:rsid w:val="006F7C56"/>
    <w:rsid w:val="007023F3"/>
    <w:rsid w:val="00702EE9"/>
    <w:rsid w:val="00703A19"/>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E88"/>
    <w:rsid w:val="00760F63"/>
    <w:rsid w:val="007636B9"/>
    <w:rsid w:val="007642B5"/>
    <w:rsid w:val="00765666"/>
    <w:rsid w:val="00771E86"/>
    <w:rsid w:val="007735A9"/>
    <w:rsid w:val="0078428E"/>
    <w:rsid w:val="00787DD0"/>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30EA"/>
    <w:rsid w:val="007D4CAF"/>
    <w:rsid w:val="007E58B4"/>
    <w:rsid w:val="007E6570"/>
    <w:rsid w:val="007F4B43"/>
    <w:rsid w:val="00800BA1"/>
    <w:rsid w:val="008042FC"/>
    <w:rsid w:val="00804A83"/>
    <w:rsid w:val="00805812"/>
    <w:rsid w:val="00806A22"/>
    <w:rsid w:val="00812F10"/>
    <w:rsid w:val="00817C79"/>
    <w:rsid w:val="00821AC3"/>
    <w:rsid w:val="00824CF8"/>
    <w:rsid w:val="0083240D"/>
    <w:rsid w:val="0084105F"/>
    <w:rsid w:val="0084202C"/>
    <w:rsid w:val="00850EC4"/>
    <w:rsid w:val="00857A37"/>
    <w:rsid w:val="00860492"/>
    <w:rsid w:val="00862500"/>
    <w:rsid w:val="00862AC7"/>
    <w:rsid w:val="0086361B"/>
    <w:rsid w:val="00874018"/>
    <w:rsid w:val="00874424"/>
    <w:rsid w:val="00875E37"/>
    <w:rsid w:val="00882487"/>
    <w:rsid w:val="00893985"/>
    <w:rsid w:val="008944E4"/>
    <w:rsid w:val="00896623"/>
    <w:rsid w:val="00897FCA"/>
    <w:rsid w:val="008A2B08"/>
    <w:rsid w:val="008A33A4"/>
    <w:rsid w:val="008A4E5C"/>
    <w:rsid w:val="008A6A98"/>
    <w:rsid w:val="008B0B9B"/>
    <w:rsid w:val="008B1F3F"/>
    <w:rsid w:val="008B37AC"/>
    <w:rsid w:val="008B6B23"/>
    <w:rsid w:val="008B7A2E"/>
    <w:rsid w:val="008C0B7F"/>
    <w:rsid w:val="008C5095"/>
    <w:rsid w:val="008C7C79"/>
    <w:rsid w:val="008D3698"/>
    <w:rsid w:val="008D50D1"/>
    <w:rsid w:val="008D6D6D"/>
    <w:rsid w:val="008E4956"/>
    <w:rsid w:val="008E5779"/>
    <w:rsid w:val="008E731B"/>
    <w:rsid w:val="008F0546"/>
    <w:rsid w:val="008F19CE"/>
    <w:rsid w:val="008F1B0C"/>
    <w:rsid w:val="009002D1"/>
    <w:rsid w:val="009062E5"/>
    <w:rsid w:val="00912640"/>
    <w:rsid w:val="009147B7"/>
    <w:rsid w:val="00914CC2"/>
    <w:rsid w:val="009203EA"/>
    <w:rsid w:val="009219BB"/>
    <w:rsid w:val="00922038"/>
    <w:rsid w:val="00930332"/>
    <w:rsid w:val="00931345"/>
    <w:rsid w:val="00935DAD"/>
    <w:rsid w:val="00936527"/>
    <w:rsid w:val="00943B6B"/>
    <w:rsid w:val="0094422B"/>
    <w:rsid w:val="00955E1D"/>
    <w:rsid w:val="009565DA"/>
    <w:rsid w:val="00960F0C"/>
    <w:rsid w:val="00961559"/>
    <w:rsid w:val="00964AD7"/>
    <w:rsid w:val="0096782C"/>
    <w:rsid w:val="0097394D"/>
    <w:rsid w:val="00973D0A"/>
    <w:rsid w:val="00983A3B"/>
    <w:rsid w:val="00987405"/>
    <w:rsid w:val="0098746D"/>
    <w:rsid w:val="0099046B"/>
    <w:rsid w:val="009911CC"/>
    <w:rsid w:val="0099497B"/>
    <w:rsid w:val="009A1CF9"/>
    <w:rsid w:val="009A66CA"/>
    <w:rsid w:val="009A75AC"/>
    <w:rsid w:val="009B315E"/>
    <w:rsid w:val="009B562D"/>
    <w:rsid w:val="009C1E4B"/>
    <w:rsid w:val="009C2E35"/>
    <w:rsid w:val="009C450B"/>
    <w:rsid w:val="009D6F42"/>
    <w:rsid w:val="009D768F"/>
    <w:rsid w:val="009E1A98"/>
    <w:rsid w:val="009E1AD2"/>
    <w:rsid w:val="009E3032"/>
    <w:rsid w:val="009E3C8A"/>
    <w:rsid w:val="009F50F3"/>
    <w:rsid w:val="009F6E2B"/>
    <w:rsid w:val="00A069BB"/>
    <w:rsid w:val="00A14091"/>
    <w:rsid w:val="00A20C2D"/>
    <w:rsid w:val="00A20CAB"/>
    <w:rsid w:val="00A262BF"/>
    <w:rsid w:val="00A27E23"/>
    <w:rsid w:val="00A31BCB"/>
    <w:rsid w:val="00A350E6"/>
    <w:rsid w:val="00A40D44"/>
    <w:rsid w:val="00A425EF"/>
    <w:rsid w:val="00A42B1F"/>
    <w:rsid w:val="00A542C1"/>
    <w:rsid w:val="00A66061"/>
    <w:rsid w:val="00A715EE"/>
    <w:rsid w:val="00A71F79"/>
    <w:rsid w:val="00A74CE5"/>
    <w:rsid w:val="00A80046"/>
    <w:rsid w:val="00A80C19"/>
    <w:rsid w:val="00A80D2E"/>
    <w:rsid w:val="00A82286"/>
    <w:rsid w:val="00A83227"/>
    <w:rsid w:val="00A92CD1"/>
    <w:rsid w:val="00A934E5"/>
    <w:rsid w:val="00A959F9"/>
    <w:rsid w:val="00A96AF4"/>
    <w:rsid w:val="00AA241D"/>
    <w:rsid w:val="00AA531A"/>
    <w:rsid w:val="00AA7008"/>
    <w:rsid w:val="00AB1830"/>
    <w:rsid w:val="00AB2B8D"/>
    <w:rsid w:val="00AB3436"/>
    <w:rsid w:val="00AB5BA8"/>
    <w:rsid w:val="00AB6779"/>
    <w:rsid w:val="00AB6FC3"/>
    <w:rsid w:val="00AC7C58"/>
    <w:rsid w:val="00AD11F9"/>
    <w:rsid w:val="00AD189F"/>
    <w:rsid w:val="00AD1ACD"/>
    <w:rsid w:val="00AD3EF4"/>
    <w:rsid w:val="00AD4A03"/>
    <w:rsid w:val="00AD608F"/>
    <w:rsid w:val="00AD7836"/>
    <w:rsid w:val="00AE1489"/>
    <w:rsid w:val="00AE2712"/>
    <w:rsid w:val="00AE32AC"/>
    <w:rsid w:val="00AE3A3F"/>
    <w:rsid w:val="00AE46D9"/>
    <w:rsid w:val="00AF3489"/>
    <w:rsid w:val="00AF5761"/>
    <w:rsid w:val="00AF773D"/>
    <w:rsid w:val="00B00AB3"/>
    <w:rsid w:val="00B04DAB"/>
    <w:rsid w:val="00B06A8D"/>
    <w:rsid w:val="00B072B2"/>
    <w:rsid w:val="00B11216"/>
    <w:rsid w:val="00B12FB0"/>
    <w:rsid w:val="00B1434E"/>
    <w:rsid w:val="00B15D52"/>
    <w:rsid w:val="00B20138"/>
    <w:rsid w:val="00B219EF"/>
    <w:rsid w:val="00B21A9F"/>
    <w:rsid w:val="00B222A2"/>
    <w:rsid w:val="00B24314"/>
    <w:rsid w:val="00B27479"/>
    <w:rsid w:val="00B31AF5"/>
    <w:rsid w:val="00B4041A"/>
    <w:rsid w:val="00B41DAF"/>
    <w:rsid w:val="00B4598F"/>
    <w:rsid w:val="00B546EF"/>
    <w:rsid w:val="00B603FA"/>
    <w:rsid w:val="00B72194"/>
    <w:rsid w:val="00B7267F"/>
    <w:rsid w:val="00B74C83"/>
    <w:rsid w:val="00B777F6"/>
    <w:rsid w:val="00B77D13"/>
    <w:rsid w:val="00B812D6"/>
    <w:rsid w:val="00B85067"/>
    <w:rsid w:val="00B85ADA"/>
    <w:rsid w:val="00B868AA"/>
    <w:rsid w:val="00B90453"/>
    <w:rsid w:val="00B90D35"/>
    <w:rsid w:val="00BA0A33"/>
    <w:rsid w:val="00BA22E9"/>
    <w:rsid w:val="00BA4A0B"/>
    <w:rsid w:val="00BB2908"/>
    <w:rsid w:val="00BB36DE"/>
    <w:rsid w:val="00BB4311"/>
    <w:rsid w:val="00BB574B"/>
    <w:rsid w:val="00BB6BC9"/>
    <w:rsid w:val="00BC00D4"/>
    <w:rsid w:val="00BC071D"/>
    <w:rsid w:val="00BC23D2"/>
    <w:rsid w:val="00BC2872"/>
    <w:rsid w:val="00BC2F8D"/>
    <w:rsid w:val="00BC3A68"/>
    <w:rsid w:val="00BC5991"/>
    <w:rsid w:val="00BD0E3E"/>
    <w:rsid w:val="00BD3651"/>
    <w:rsid w:val="00BE3BFA"/>
    <w:rsid w:val="00BE48CE"/>
    <w:rsid w:val="00BF05A0"/>
    <w:rsid w:val="00BF0B5A"/>
    <w:rsid w:val="00BF2428"/>
    <w:rsid w:val="00BF3D4A"/>
    <w:rsid w:val="00BF43B6"/>
    <w:rsid w:val="00C03206"/>
    <w:rsid w:val="00C0413B"/>
    <w:rsid w:val="00C077BF"/>
    <w:rsid w:val="00C108AB"/>
    <w:rsid w:val="00C16EF6"/>
    <w:rsid w:val="00C2140B"/>
    <w:rsid w:val="00C24D89"/>
    <w:rsid w:val="00C261AC"/>
    <w:rsid w:val="00C3210B"/>
    <w:rsid w:val="00C35688"/>
    <w:rsid w:val="00C42067"/>
    <w:rsid w:val="00C429B7"/>
    <w:rsid w:val="00C447D2"/>
    <w:rsid w:val="00C45A1E"/>
    <w:rsid w:val="00C473B5"/>
    <w:rsid w:val="00C47D77"/>
    <w:rsid w:val="00C50557"/>
    <w:rsid w:val="00C51BC8"/>
    <w:rsid w:val="00C533D5"/>
    <w:rsid w:val="00C6194C"/>
    <w:rsid w:val="00C65357"/>
    <w:rsid w:val="00C735FB"/>
    <w:rsid w:val="00C73CFE"/>
    <w:rsid w:val="00C77087"/>
    <w:rsid w:val="00C80A5B"/>
    <w:rsid w:val="00C8304F"/>
    <w:rsid w:val="00C908AA"/>
    <w:rsid w:val="00C9107D"/>
    <w:rsid w:val="00C91A89"/>
    <w:rsid w:val="00C924B2"/>
    <w:rsid w:val="00C925EE"/>
    <w:rsid w:val="00C93B69"/>
    <w:rsid w:val="00CA1DBE"/>
    <w:rsid w:val="00CA5492"/>
    <w:rsid w:val="00CA6EC9"/>
    <w:rsid w:val="00CA7683"/>
    <w:rsid w:val="00CA78B3"/>
    <w:rsid w:val="00CB45E9"/>
    <w:rsid w:val="00CC0F8B"/>
    <w:rsid w:val="00CC1400"/>
    <w:rsid w:val="00CC4059"/>
    <w:rsid w:val="00CD2FB2"/>
    <w:rsid w:val="00CE1094"/>
    <w:rsid w:val="00CE1E43"/>
    <w:rsid w:val="00CE2BC5"/>
    <w:rsid w:val="00CE3F36"/>
    <w:rsid w:val="00CE4906"/>
    <w:rsid w:val="00CE62B6"/>
    <w:rsid w:val="00CF29D8"/>
    <w:rsid w:val="00CF44D4"/>
    <w:rsid w:val="00CF4842"/>
    <w:rsid w:val="00CF699C"/>
    <w:rsid w:val="00D00F74"/>
    <w:rsid w:val="00D059A9"/>
    <w:rsid w:val="00D103F7"/>
    <w:rsid w:val="00D133D9"/>
    <w:rsid w:val="00D24955"/>
    <w:rsid w:val="00D262F0"/>
    <w:rsid w:val="00D30865"/>
    <w:rsid w:val="00D3557A"/>
    <w:rsid w:val="00D379FC"/>
    <w:rsid w:val="00D40846"/>
    <w:rsid w:val="00D4235C"/>
    <w:rsid w:val="00D43550"/>
    <w:rsid w:val="00D439B6"/>
    <w:rsid w:val="00D44908"/>
    <w:rsid w:val="00D46240"/>
    <w:rsid w:val="00D50F22"/>
    <w:rsid w:val="00D51BF2"/>
    <w:rsid w:val="00D55E7F"/>
    <w:rsid w:val="00D55FA1"/>
    <w:rsid w:val="00D57E4B"/>
    <w:rsid w:val="00D60CE4"/>
    <w:rsid w:val="00D6237A"/>
    <w:rsid w:val="00D625CD"/>
    <w:rsid w:val="00D625FC"/>
    <w:rsid w:val="00D650EC"/>
    <w:rsid w:val="00D6699A"/>
    <w:rsid w:val="00D672DD"/>
    <w:rsid w:val="00D70B2A"/>
    <w:rsid w:val="00D7622A"/>
    <w:rsid w:val="00D84E43"/>
    <w:rsid w:val="00D91909"/>
    <w:rsid w:val="00D92A0E"/>
    <w:rsid w:val="00D9397C"/>
    <w:rsid w:val="00D9459D"/>
    <w:rsid w:val="00D95D2C"/>
    <w:rsid w:val="00DA1C90"/>
    <w:rsid w:val="00DA3249"/>
    <w:rsid w:val="00DA4F70"/>
    <w:rsid w:val="00DA6972"/>
    <w:rsid w:val="00DB4B44"/>
    <w:rsid w:val="00DB6324"/>
    <w:rsid w:val="00DB65BC"/>
    <w:rsid w:val="00DC0207"/>
    <w:rsid w:val="00DC55EF"/>
    <w:rsid w:val="00DD0C64"/>
    <w:rsid w:val="00DD79B7"/>
    <w:rsid w:val="00DE04A2"/>
    <w:rsid w:val="00DE1AC5"/>
    <w:rsid w:val="00DE478D"/>
    <w:rsid w:val="00DE66F1"/>
    <w:rsid w:val="00DE6CA5"/>
    <w:rsid w:val="00DF1C3C"/>
    <w:rsid w:val="00DF1D35"/>
    <w:rsid w:val="00DF1F1B"/>
    <w:rsid w:val="00DF2028"/>
    <w:rsid w:val="00E04DA9"/>
    <w:rsid w:val="00E0502B"/>
    <w:rsid w:val="00E10C7C"/>
    <w:rsid w:val="00E1428E"/>
    <w:rsid w:val="00E1440C"/>
    <w:rsid w:val="00E158D5"/>
    <w:rsid w:val="00E20E4F"/>
    <w:rsid w:val="00E20F3F"/>
    <w:rsid w:val="00E21D1C"/>
    <w:rsid w:val="00E23FEC"/>
    <w:rsid w:val="00E2702F"/>
    <w:rsid w:val="00E30F80"/>
    <w:rsid w:val="00E310B3"/>
    <w:rsid w:val="00E33F21"/>
    <w:rsid w:val="00E42802"/>
    <w:rsid w:val="00E43862"/>
    <w:rsid w:val="00E44A2E"/>
    <w:rsid w:val="00E45DDD"/>
    <w:rsid w:val="00E51A61"/>
    <w:rsid w:val="00E51EE0"/>
    <w:rsid w:val="00E55C71"/>
    <w:rsid w:val="00E600BB"/>
    <w:rsid w:val="00E6071F"/>
    <w:rsid w:val="00E62185"/>
    <w:rsid w:val="00E6302A"/>
    <w:rsid w:val="00E63D58"/>
    <w:rsid w:val="00E65DC7"/>
    <w:rsid w:val="00E678DD"/>
    <w:rsid w:val="00E70D0A"/>
    <w:rsid w:val="00E86BAC"/>
    <w:rsid w:val="00E92276"/>
    <w:rsid w:val="00E93383"/>
    <w:rsid w:val="00E96DEF"/>
    <w:rsid w:val="00E96EF5"/>
    <w:rsid w:val="00E97E3C"/>
    <w:rsid w:val="00EA305F"/>
    <w:rsid w:val="00EA5A9D"/>
    <w:rsid w:val="00EC1345"/>
    <w:rsid w:val="00EC3AF2"/>
    <w:rsid w:val="00EC3B20"/>
    <w:rsid w:val="00EC5AE2"/>
    <w:rsid w:val="00ED2931"/>
    <w:rsid w:val="00ED3D63"/>
    <w:rsid w:val="00ED5304"/>
    <w:rsid w:val="00EE4ECC"/>
    <w:rsid w:val="00EE7413"/>
    <w:rsid w:val="00EF17D7"/>
    <w:rsid w:val="00EF39F3"/>
    <w:rsid w:val="00EF4303"/>
    <w:rsid w:val="00EF4324"/>
    <w:rsid w:val="00EF57C3"/>
    <w:rsid w:val="00EF581C"/>
    <w:rsid w:val="00EF6C06"/>
    <w:rsid w:val="00F136DB"/>
    <w:rsid w:val="00F14741"/>
    <w:rsid w:val="00F14AF4"/>
    <w:rsid w:val="00F16C26"/>
    <w:rsid w:val="00F22F43"/>
    <w:rsid w:val="00F26554"/>
    <w:rsid w:val="00F273C2"/>
    <w:rsid w:val="00F30A0C"/>
    <w:rsid w:val="00F3175F"/>
    <w:rsid w:val="00F31E55"/>
    <w:rsid w:val="00F3487B"/>
    <w:rsid w:val="00F40F32"/>
    <w:rsid w:val="00F41147"/>
    <w:rsid w:val="00F42A36"/>
    <w:rsid w:val="00F43DF2"/>
    <w:rsid w:val="00F51966"/>
    <w:rsid w:val="00F55278"/>
    <w:rsid w:val="00F55E55"/>
    <w:rsid w:val="00F60F6C"/>
    <w:rsid w:val="00F665CB"/>
    <w:rsid w:val="00F73171"/>
    <w:rsid w:val="00F77A30"/>
    <w:rsid w:val="00F83565"/>
    <w:rsid w:val="00F84EF2"/>
    <w:rsid w:val="00F85067"/>
    <w:rsid w:val="00F867CD"/>
    <w:rsid w:val="00F87D78"/>
    <w:rsid w:val="00F91631"/>
    <w:rsid w:val="00F960F6"/>
    <w:rsid w:val="00F9669D"/>
    <w:rsid w:val="00FA00E5"/>
    <w:rsid w:val="00FA0B19"/>
    <w:rsid w:val="00FB0FF0"/>
    <w:rsid w:val="00FB7695"/>
    <w:rsid w:val="00FC66CC"/>
    <w:rsid w:val="00FC6CDC"/>
    <w:rsid w:val="00FC799A"/>
    <w:rsid w:val="00FD25AB"/>
    <w:rsid w:val="00FD31CB"/>
    <w:rsid w:val="00FD625B"/>
    <w:rsid w:val="00FD6E8E"/>
    <w:rsid w:val="00FD77AD"/>
    <w:rsid w:val="00FE2A78"/>
    <w:rsid w:val="00FE5A2A"/>
    <w:rsid w:val="00FE7618"/>
    <w:rsid w:val="00FF00CC"/>
    <w:rsid w:val="00FF145D"/>
    <w:rsid w:val="00FF1BF9"/>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F2256"/>
    <w:rsid w:val="378D7431"/>
    <w:rsid w:val="37A10C5D"/>
    <w:rsid w:val="37EA445F"/>
    <w:rsid w:val="37EE3CC3"/>
    <w:rsid w:val="37EF51D2"/>
    <w:rsid w:val="38731403"/>
    <w:rsid w:val="388F20A8"/>
    <w:rsid w:val="3917220E"/>
    <w:rsid w:val="392B11E4"/>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DC027F"/>
    <w:rsid w:val="6EFC1923"/>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C4D7758"/>
    <w:rsid w:val="7C7A6EE2"/>
    <w:rsid w:val="7C8810E0"/>
    <w:rsid w:val="7C9152A7"/>
    <w:rsid w:val="7D0F77F8"/>
    <w:rsid w:val="7D4449AD"/>
    <w:rsid w:val="7DA70F2C"/>
    <w:rsid w:val="7DAA6C39"/>
    <w:rsid w:val="7DAE7C6D"/>
    <w:rsid w:val="7E11270A"/>
    <w:rsid w:val="7E15060D"/>
    <w:rsid w:val="7E285309"/>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653B1"/>
  <w15:docId w15:val="{382E7C0E-6BA1-4A9E-9F50-A374BE16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9A6F4-4F9A-4DB7-8FB2-BABD6DD5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3</Pages>
  <Words>1012</Words>
  <Characters>5772</Characters>
  <Application>Microsoft Office Word</Application>
  <DocSecurity>0</DocSecurity>
  <Lines>48</Lines>
  <Paragraphs>13</Paragraphs>
  <ScaleCrop>false</ScaleCrop>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70</cp:revision>
  <dcterms:created xsi:type="dcterms:W3CDTF">2023-10-31T07:23:00Z</dcterms:created>
  <dcterms:modified xsi:type="dcterms:W3CDTF">2024-02-18T06:05:00Z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